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hint="eastAsia" w:ascii="楷体" w:hAnsi="楷体" w:eastAsia="楷体" w:cs="Times New Roman"/>
          <w:b/>
          <w:color w:val="000000"/>
          <w:sz w:val="32"/>
          <w:szCs w:val="32"/>
        </w:rPr>
        <w:t>重庆兰阀流体控制设备有限公司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7"/>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319"/>
        <w:gridCol w:w="151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319" w:type="dxa"/>
            <w:vAlign w:val="center"/>
          </w:tcPr>
          <w:p>
            <w:pPr>
              <w:jc w:val="center"/>
              <w:rPr>
                <w:b/>
                <w:sz w:val="21"/>
                <w:szCs w:val="21"/>
              </w:rPr>
            </w:pPr>
            <w:r>
              <w:rPr>
                <w:rFonts w:hint="eastAsia"/>
                <w:b/>
                <w:sz w:val="21"/>
                <w:szCs w:val="21"/>
              </w:rPr>
              <w:t>职务</w:t>
            </w:r>
          </w:p>
        </w:tc>
        <w:tc>
          <w:tcPr>
            <w:tcW w:w="151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杨珍全</w:t>
            </w:r>
          </w:p>
        </w:tc>
        <w:tc>
          <w:tcPr>
            <w:tcW w:w="824" w:type="dxa"/>
            <w:gridSpan w:val="2"/>
            <w:vAlign w:val="center"/>
          </w:tcPr>
          <w:p>
            <w:pPr>
              <w:jc w:val="center"/>
              <w:rPr>
                <w:b/>
                <w:sz w:val="21"/>
                <w:szCs w:val="21"/>
              </w:rPr>
            </w:pPr>
            <w:r>
              <w:rPr>
                <w:b/>
                <w:sz w:val="21"/>
                <w:szCs w:val="21"/>
              </w:rPr>
              <w:t>男</w:t>
            </w:r>
          </w:p>
        </w:tc>
        <w:tc>
          <w:tcPr>
            <w:tcW w:w="1319" w:type="dxa"/>
            <w:vAlign w:val="center"/>
          </w:tcPr>
          <w:p>
            <w:pPr>
              <w:jc w:val="center"/>
              <w:rPr>
                <w:b/>
                <w:sz w:val="21"/>
                <w:szCs w:val="21"/>
              </w:rPr>
            </w:pPr>
            <w:r>
              <w:rPr>
                <w:b/>
                <w:sz w:val="21"/>
                <w:szCs w:val="21"/>
              </w:rPr>
              <w:t>组长</w:t>
            </w:r>
          </w:p>
        </w:tc>
        <w:tc>
          <w:tcPr>
            <w:tcW w:w="151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tc>
        <w:tc>
          <w:tcPr>
            <w:tcW w:w="1699" w:type="dxa"/>
            <w:vAlign w:val="center"/>
          </w:tcPr>
          <w:p>
            <w:pPr>
              <w:jc w:val="center"/>
              <w:rPr>
                <w:b/>
                <w:sz w:val="21"/>
                <w:szCs w:val="21"/>
              </w:rPr>
            </w:pPr>
            <w:r>
              <w:rPr>
                <w:b/>
                <w:sz w:val="21"/>
                <w:szCs w:val="21"/>
              </w:rPr>
              <w:t>2018-N1QMS-1230067</w:t>
            </w:r>
          </w:p>
          <w:p>
            <w:pPr>
              <w:jc w:val="center"/>
              <w:rPr>
                <w:b/>
                <w:sz w:val="21"/>
                <w:szCs w:val="21"/>
              </w:rPr>
            </w:pPr>
            <w:r>
              <w:rPr>
                <w:b/>
                <w:sz w:val="21"/>
                <w:szCs w:val="21"/>
              </w:rPr>
              <w:t>2018-N1EMS-1230067</w:t>
            </w:r>
          </w:p>
        </w:tc>
        <w:tc>
          <w:tcPr>
            <w:tcW w:w="1728" w:type="dxa"/>
            <w:gridSpan w:val="2"/>
            <w:vAlign w:val="center"/>
          </w:tcPr>
          <w:p>
            <w:pPr>
              <w:jc w:val="center"/>
              <w:rPr>
                <w:b/>
                <w:sz w:val="21"/>
                <w:szCs w:val="21"/>
              </w:rPr>
            </w:pPr>
            <w:r>
              <w:rPr>
                <w:b/>
                <w:sz w:val="21"/>
                <w:szCs w:val="21"/>
              </w:rPr>
              <w:t>Q:29.12.00</w:t>
            </w:r>
          </w:p>
          <w:p>
            <w:pPr>
              <w:jc w:val="center"/>
              <w:rPr>
                <w:b/>
                <w:sz w:val="21"/>
                <w:szCs w:val="21"/>
              </w:rPr>
            </w:pPr>
            <w:r>
              <w:rPr>
                <w:b/>
                <w:sz w:val="21"/>
                <w:szCs w:val="21"/>
              </w:rPr>
              <w:t>E:29.12.00</w:t>
            </w:r>
          </w:p>
        </w:tc>
        <w:tc>
          <w:tcPr>
            <w:tcW w:w="1729" w:type="dxa"/>
            <w:gridSpan w:val="2"/>
            <w:vAlign w:val="center"/>
          </w:tcPr>
          <w:p>
            <w:pPr>
              <w:jc w:val="center"/>
              <w:rPr>
                <w:b/>
                <w:sz w:val="21"/>
                <w:szCs w:val="21"/>
              </w:rPr>
            </w:pPr>
            <w:r>
              <w:rPr>
                <w:b/>
                <w:sz w:val="21"/>
                <w:szCs w:val="21"/>
              </w:rPr>
              <w:t>ISC-230067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319" w:type="dxa"/>
          </w:tcPr>
          <w:p>
            <w:pPr>
              <w:rPr>
                <w:b/>
                <w:sz w:val="21"/>
                <w:szCs w:val="21"/>
              </w:rPr>
            </w:pPr>
          </w:p>
        </w:tc>
        <w:tc>
          <w:tcPr>
            <w:tcW w:w="151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319" w:type="dxa"/>
          </w:tcPr>
          <w:p>
            <w:pPr>
              <w:rPr>
                <w:b/>
                <w:sz w:val="21"/>
                <w:szCs w:val="21"/>
              </w:rPr>
            </w:pPr>
          </w:p>
        </w:tc>
        <w:tc>
          <w:tcPr>
            <w:tcW w:w="151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319" w:type="dxa"/>
          </w:tcPr>
          <w:p>
            <w:pPr>
              <w:rPr>
                <w:b/>
                <w:sz w:val="21"/>
                <w:szCs w:val="21"/>
              </w:rPr>
            </w:pPr>
          </w:p>
        </w:tc>
        <w:tc>
          <w:tcPr>
            <w:tcW w:w="151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319" w:type="dxa"/>
            <w:vAlign w:val="center"/>
          </w:tcPr>
          <w:p>
            <w:pPr>
              <w:jc w:val="center"/>
              <w:rPr>
                <w:b/>
                <w:sz w:val="21"/>
                <w:szCs w:val="21"/>
              </w:rPr>
            </w:pPr>
            <w:r>
              <w:rPr>
                <w:rFonts w:hint="eastAsia"/>
                <w:b/>
                <w:sz w:val="21"/>
                <w:szCs w:val="21"/>
              </w:rPr>
              <w:t>角色</w:t>
            </w:r>
          </w:p>
        </w:tc>
        <w:tc>
          <w:tcPr>
            <w:tcW w:w="667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319" w:type="dxa"/>
            <w:vAlign w:val="center"/>
          </w:tcPr>
          <w:p>
            <w:pPr>
              <w:jc w:val="center"/>
              <w:rPr>
                <w:b/>
                <w:sz w:val="21"/>
                <w:szCs w:val="21"/>
              </w:rPr>
            </w:pPr>
          </w:p>
        </w:tc>
        <w:tc>
          <w:tcPr>
            <w:tcW w:w="667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319" w:type="dxa"/>
            <w:vAlign w:val="center"/>
          </w:tcPr>
          <w:p>
            <w:pPr>
              <w:jc w:val="center"/>
              <w:rPr>
                <w:b/>
              </w:rPr>
            </w:pPr>
          </w:p>
        </w:tc>
        <w:tc>
          <w:tcPr>
            <w:tcW w:w="667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319" w:type="dxa"/>
            <w:vAlign w:val="center"/>
          </w:tcPr>
          <w:p>
            <w:pPr>
              <w:jc w:val="center"/>
              <w:rPr>
                <w:b/>
              </w:rPr>
            </w:pPr>
          </w:p>
        </w:tc>
        <w:tc>
          <w:tcPr>
            <w:tcW w:w="667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idt ISO 9001:2015标准不适用条款: </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7"/>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1" w:name="组织名称Add"/>
            <w:r>
              <w:rPr>
                <w:rFonts w:ascii="宋体" w:hAnsi="Times New Roman" w:cs="Times New Roman"/>
                <w:b/>
                <w:sz w:val="21"/>
                <w:szCs w:val="22"/>
              </w:rPr>
              <w:t>重庆兰阀流体控制设备有限公司</w:t>
            </w:r>
            <w:bookmarkEnd w:id="11"/>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12人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2" w:name="注册地址"/>
            <w:r>
              <w:rPr>
                <w:rFonts w:ascii="宋体"/>
                <w:b/>
                <w:sz w:val="21"/>
              </w:rPr>
              <w:t>重庆市渝北区回兴街道金锦路27号1号厂房</w:t>
            </w:r>
            <w:bookmarkEnd w:id="12"/>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3" w:name="注册邮编"/>
            <w:r>
              <w:rPr>
                <w:rFonts w:ascii="宋体"/>
                <w:b/>
                <w:sz w:val="21"/>
              </w:rPr>
              <w:t>401120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4" w:name="办公地址"/>
            <w:r>
              <w:rPr>
                <w:rFonts w:ascii="宋体"/>
                <w:b/>
                <w:sz w:val="21"/>
              </w:rPr>
              <w:t>重庆市渝北区回兴街道金锦路27号1号厂房</w:t>
            </w:r>
            <w:bookmarkEnd w:id="14"/>
          </w:p>
        </w:tc>
        <w:tc>
          <w:tcPr>
            <w:tcW w:w="1672" w:type="dxa"/>
            <w:vMerge w:val="continue"/>
            <w:vAlign w:val="center"/>
          </w:tcPr>
          <w:p>
            <w:pPr>
              <w:jc w:val="center"/>
              <w:rPr>
                <w:rFonts w:ascii="宋体"/>
                <w:b/>
                <w:sz w:val="21"/>
              </w:rPr>
            </w:pPr>
          </w:p>
        </w:tc>
        <w:tc>
          <w:tcPr>
            <w:tcW w:w="1500" w:type="dxa"/>
          </w:tcPr>
          <w:p>
            <w:pPr>
              <w:rPr>
                <w:rFonts w:ascii="宋体"/>
                <w:b/>
                <w:sz w:val="21"/>
              </w:rPr>
            </w:pPr>
            <w:bookmarkStart w:id="15" w:name="办公邮编"/>
            <w:r>
              <w:rPr>
                <w:rFonts w:ascii="宋体"/>
                <w:b/>
                <w:sz w:val="21"/>
              </w:rPr>
              <w:t>401120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6" w:name="生产地址Add"/>
            <w:r>
              <w:rPr>
                <w:rFonts w:ascii="宋体"/>
                <w:b/>
                <w:sz w:val="21"/>
              </w:rPr>
              <w:t>重庆市渝北区回兴街道金锦路27号1号厂房</w:t>
            </w:r>
            <w:bookmarkEnd w:id="16"/>
          </w:p>
        </w:tc>
        <w:tc>
          <w:tcPr>
            <w:tcW w:w="1672" w:type="dxa"/>
            <w:vMerge w:val="continue"/>
            <w:vAlign w:val="center"/>
          </w:tcPr>
          <w:p>
            <w:pPr>
              <w:jc w:val="center"/>
              <w:rPr>
                <w:rFonts w:ascii="宋体"/>
                <w:b/>
                <w:sz w:val="21"/>
              </w:rPr>
            </w:pPr>
          </w:p>
        </w:tc>
        <w:tc>
          <w:tcPr>
            <w:tcW w:w="1500" w:type="dxa"/>
          </w:tcPr>
          <w:p>
            <w:pPr>
              <w:rPr>
                <w:rFonts w:ascii="宋体"/>
                <w:b/>
                <w:sz w:val="21"/>
              </w:rPr>
            </w:pPr>
            <w:bookmarkStart w:id="17" w:name="生产邮编"/>
            <w:r>
              <w:rPr>
                <w:rFonts w:ascii="宋体"/>
                <w:b/>
                <w:sz w:val="21"/>
              </w:rPr>
              <w:t>401120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8" w:name="联系人"/>
            <w:r>
              <w:rPr>
                <w:rFonts w:ascii="宋体"/>
                <w:b/>
                <w:sz w:val="21"/>
              </w:rPr>
              <w:t>杨健</w:t>
            </w:r>
            <w:bookmarkEnd w:id="18"/>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9" w:name="联系人电话Add"/>
            <w:r>
              <w:rPr>
                <w:rFonts w:ascii="宋体"/>
                <w:b/>
                <w:sz w:val="21"/>
              </w:rPr>
              <w:t>023-67188413</w:t>
            </w:r>
            <w:bookmarkEnd w:id="19"/>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20" w:name="联系人传真"/>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1" w:name="法人"/>
            <w:r>
              <w:rPr>
                <w:rFonts w:ascii="宋体" w:hAnsi="宋体"/>
                <w:b/>
                <w:sz w:val="21"/>
                <w:szCs w:val="21"/>
              </w:rPr>
              <w:t>杨明忠</w:t>
            </w:r>
            <w:bookmarkEnd w:id="21"/>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2" w:name="管理者代表"/>
            <w:r>
              <w:rPr>
                <w:rFonts w:ascii="宋体"/>
                <w:b/>
                <w:sz w:val="21"/>
              </w:rPr>
              <w:t>杨健</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3" w:name="审核日期"/>
            <w:r>
              <w:rPr>
                <w:rFonts w:ascii="宋体" w:hAnsi="宋体"/>
                <w:b/>
                <w:sz w:val="21"/>
                <w:szCs w:val="21"/>
              </w:rPr>
              <w:t>2020年01月14日 上午至2020年01月15日 下午</w:t>
            </w:r>
            <w:bookmarkEnd w:id="23"/>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b/>
                <w:sz w:val="21"/>
                <w:szCs w:val="21"/>
              </w:rPr>
              <w:t>■</w:t>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4" w:name="Q勾选15Add1"/>
            <w:r>
              <w:rPr>
                <w:rFonts w:hint="eastAsia" w:ascii="宋体" w:hAnsi="宋体"/>
                <w:b/>
                <w:sz w:val="21"/>
                <w:szCs w:val="21"/>
              </w:rPr>
              <w:t>■</w:t>
            </w:r>
            <w:bookmarkEnd w:id="24"/>
            <w:r>
              <w:rPr>
                <w:rFonts w:ascii="宋体" w:hAnsi="宋体"/>
                <w:b/>
                <w:sz w:val="21"/>
                <w:szCs w:val="21"/>
              </w:rPr>
              <w:t>QMS</w:t>
            </w:r>
            <w:r>
              <w:rPr>
                <w:rFonts w:hint="eastAsia" w:ascii="宋体" w:hAnsi="宋体"/>
                <w:b/>
                <w:sz w:val="21"/>
                <w:szCs w:val="21"/>
              </w:rPr>
              <w:t>：</w:t>
            </w:r>
            <w:bookmarkStart w:id="25" w:name="QJ勾选Add1"/>
            <w:r>
              <w:rPr>
                <w:sz w:val="20"/>
              </w:rPr>
              <w:t>流体控制设备、仪器仪表、阀门及配件的销售</w:t>
            </w:r>
            <w:r>
              <w:rPr>
                <w:rFonts w:hint="eastAsia"/>
                <w:sz w:val="20"/>
                <w:lang w:eastAsia="zh-CN"/>
              </w:rPr>
              <w:t>。</w:t>
            </w:r>
            <w:r>
              <w:rPr>
                <w:rFonts w:hint="eastAsia" w:ascii="宋体" w:hAnsi="宋体"/>
                <w:b/>
                <w:sz w:val="21"/>
                <w:szCs w:val="21"/>
              </w:rPr>
              <w:t>□</w:t>
            </w:r>
            <w:bookmarkEnd w:id="25"/>
            <w:r>
              <w:rPr>
                <w:rFonts w:hint="eastAsia" w:ascii="宋体" w:hAnsi="宋体"/>
                <w:b/>
                <w:sz w:val="21"/>
                <w:szCs w:val="21"/>
              </w:rPr>
              <w:t>5</w:t>
            </w:r>
            <w:r>
              <w:rPr>
                <w:rFonts w:ascii="宋体" w:hAnsi="宋体"/>
                <w:b/>
                <w:sz w:val="21"/>
                <w:szCs w:val="21"/>
              </w:rPr>
              <w:t>0430</w:t>
            </w:r>
          </w:p>
          <w:p>
            <w:pPr>
              <w:spacing w:line="360" w:lineRule="exact"/>
              <w:rPr>
                <w:rFonts w:ascii="宋体" w:hAnsi="宋体"/>
                <w:b/>
                <w:sz w:val="21"/>
                <w:szCs w:val="21"/>
              </w:rPr>
            </w:pPr>
            <w:bookmarkStart w:id="26" w:name="E勾选Add1"/>
            <w:r>
              <w:rPr>
                <w:rFonts w:hint="eastAsia" w:ascii="宋体" w:hAnsi="宋体"/>
                <w:b/>
                <w:sz w:val="21"/>
                <w:szCs w:val="21"/>
              </w:rPr>
              <w:t>■</w:t>
            </w:r>
            <w:bookmarkEnd w:id="26"/>
            <w:r>
              <w:rPr>
                <w:rFonts w:ascii="宋体" w:hAnsi="宋体"/>
                <w:b/>
                <w:sz w:val="21"/>
                <w:szCs w:val="21"/>
              </w:rPr>
              <w:t>EMS</w:t>
            </w:r>
            <w:r>
              <w:rPr>
                <w:rFonts w:hint="eastAsia" w:ascii="宋体" w:hAnsi="宋体"/>
                <w:b/>
                <w:sz w:val="21"/>
                <w:szCs w:val="21"/>
              </w:rPr>
              <w:t>：</w:t>
            </w:r>
            <w:r>
              <w:rPr>
                <w:sz w:val="20"/>
              </w:rPr>
              <w:t>流体控制设备、仪器仪表、阀门及配件的销售所涉及的相关环境管理活动</w:t>
            </w:r>
            <w:r>
              <w:rPr>
                <w:rFonts w:hint="eastAsia"/>
                <w:sz w:val="20"/>
                <w:lang w:eastAsia="zh-CN"/>
              </w:rPr>
              <w:t>。</w:t>
            </w:r>
          </w:p>
          <w:p>
            <w:pPr>
              <w:spacing w:line="360" w:lineRule="exact"/>
              <w:rPr>
                <w:rFonts w:ascii="宋体" w:hAnsi="宋体"/>
                <w:b/>
                <w:sz w:val="21"/>
                <w:szCs w:val="21"/>
              </w:rPr>
            </w:pPr>
            <w:bookmarkStart w:id="27" w:name="S勾选Add2"/>
            <w:r>
              <w:rPr>
                <w:rFonts w:hint="eastAsia" w:ascii="宋体" w:hAnsi="宋体"/>
                <w:b/>
                <w:sz w:val="21"/>
                <w:szCs w:val="21"/>
              </w:rPr>
              <w:t>□</w:t>
            </w:r>
            <w:bookmarkEnd w:id="27"/>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8" w:name="专业代码"/>
            <w:r>
              <w:rPr>
                <w:rFonts w:ascii="宋体" w:hAnsi="宋体"/>
                <w:b/>
                <w:sz w:val="21"/>
                <w:szCs w:val="21"/>
              </w:rPr>
              <w:t>Q：29.12.00</w:t>
            </w:r>
          </w:p>
          <w:p>
            <w:pPr>
              <w:spacing w:line="260" w:lineRule="exact"/>
              <w:rPr>
                <w:rFonts w:ascii="宋体" w:hAnsi="宋体"/>
                <w:b/>
                <w:sz w:val="21"/>
                <w:szCs w:val="21"/>
              </w:rPr>
            </w:pPr>
            <w:r>
              <w:rPr>
                <w:rFonts w:ascii="宋体" w:hAnsi="宋体"/>
                <w:b/>
                <w:sz w:val="21"/>
                <w:szCs w:val="21"/>
              </w:rPr>
              <w:t>E：29.12.00</w:t>
            </w:r>
            <w:bookmarkEnd w:id="28"/>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2022.1.8</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2019.1.1</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2019</w:t>
      </w:r>
      <w:r>
        <w:rPr>
          <w:rFonts w:hint="eastAsia" w:ascii="宋体" w:hAnsi="宋体"/>
          <w:b/>
          <w:sz w:val="21"/>
          <w:szCs w:val="21"/>
        </w:rPr>
        <w:t>年</w:t>
      </w:r>
      <w:r>
        <w:rPr>
          <w:rFonts w:hint="eastAsia" w:ascii="宋体" w:hAnsi="宋体"/>
          <w:b/>
          <w:sz w:val="21"/>
          <w:szCs w:val="21"/>
          <w:lang w:val="en-US" w:eastAsia="zh-CN"/>
        </w:rPr>
        <w:t>1</w:t>
      </w:r>
      <w:r>
        <w:rPr>
          <w:rFonts w:hint="eastAsia" w:ascii="宋体" w:hAnsi="宋体"/>
          <w:b/>
          <w:sz w:val="21"/>
          <w:szCs w:val="21"/>
        </w:rPr>
        <w:t>月</w:t>
      </w:r>
      <w:r>
        <w:rPr>
          <w:rFonts w:hint="eastAsia" w:ascii="宋体" w:hAnsi="宋体"/>
          <w:b/>
          <w:sz w:val="21"/>
          <w:szCs w:val="21"/>
          <w:lang w:val="en-US" w:eastAsia="zh-CN"/>
        </w:rPr>
        <w:t>1</w:t>
      </w:r>
      <w:r>
        <w:rPr>
          <w:rFonts w:hint="eastAsia" w:ascii="宋体" w:hAnsi="宋体"/>
          <w:b/>
          <w:sz w:val="21"/>
          <w:szCs w:val="21"/>
        </w:rPr>
        <w:t>日至</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1</w:t>
      </w:r>
      <w:r>
        <w:rPr>
          <w:rFonts w:hint="eastAsia" w:ascii="宋体" w:hAnsi="宋体"/>
          <w:b/>
          <w:sz w:val="21"/>
          <w:szCs w:val="21"/>
        </w:rPr>
        <w:t>月</w:t>
      </w:r>
      <w:r>
        <w:rPr>
          <w:rFonts w:hint="eastAsia" w:ascii="宋体" w:hAnsi="宋体"/>
          <w:b/>
          <w:sz w:val="21"/>
          <w:szCs w:val="21"/>
          <w:lang w:val="en-US" w:eastAsia="zh-CN"/>
        </w:rPr>
        <w:t>15</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240" w:lineRule="exact"/>
              <w:ind w:firstLine="210" w:firstLineChars="100"/>
              <w:rPr>
                <w:rFonts w:hint="eastAsia" w:ascii="宋体" w:hAnsi="宋体"/>
                <w:b/>
                <w:sz w:val="21"/>
                <w:szCs w:val="21"/>
              </w:rPr>
            </w:pPr>
            <w:r>
              <w:rPr>
                <w:rFonts w:hint="eastAsia" w:ascii="宋体" w:hAnsi="宋体" w:cs="Times New Roman"/>
                <w:sz w:val="21"/>
                <w:szCs w:val="21"/>
              </w:rPr>
              <w:t>重庆兰阀流体控制设备有限公司成立于2015年07月08日，坐落于重庆市渝北区回兴街道金锦路27号1号厂房，公司主要经营范围是流体控制设备、仪器仪表、阀门及配件的销售。现有员工数15人，经营状况良好。 组织对内外部因素、相关方需求和期望进行了充分的识别，策划和实施有效。确定了体系的边界，</w:t>
            </w:r>
            <w:r>
              <w:rPr>
                <w:rFonts w:hint="eastAsia" w:ascii="宋体" w:hAnsi="宋体"/>
                <w:sz w:val="21"/>
                <w:szCs w:val="21"/>
              </w:rPr>
              <w:t>基本适用。</w:t>
            </w:r>
            <w:r>
              <w:rPr>
                <w:rFonts w:hint="eastAsia" w:ascii="宋体" w:hAnsi="宋体"/>
                <w:sz w:val="21"/>
                <w:szCs w:val="21"/>
                <w:lang w:eastAsia="zh-CN"/>
              </w:rPr>
              <w:t>质量</w:t>
            </w:r>
            <w:r>
              <w:rPr>
                <w:rFonts w:hint="eastAsia" w:ascii="宋体" w:hAnsi="宋体"/>
                <w:sz w:val="21"/>
                <w:szCs w:val="21"/>
              </w:rPr>
              <w:t>管理体系8.3</w:t>
            </w:r>
            <w:r>
              <w:rPr>
                <w:rFonts w:hint="eastAsia" w:ascii="宋体" w:hAnsi="宋体"/>
                <w:sz w:val="21"/>
                <w:szCs w:val="21"/>
                <w:lang w:eastAsia="zh-CN"/>
              </w:rPr>
              <w:t>条款</w:t>
            </w:r>
            <w:r>
              <w:rPr>
                <w:rFonts w:hint="eastAsia" w:ascii="宋体" w:hAnsi="宋体"/>
                <w:sz w:val="21"/>
                <w:szCs w:val="21"/>
              </w:rPr>
              <w:t>不适用，理由合理。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40" w:lineRule="exact"/>
              <w:rPr>
                <w:rFonts w:hint="eastAsia" w:ascii="宋体" w:hAnsi="宋体"/>
                <w:b/>
                <w:sz w:val="21"/>
                <w:szCs w:val="21"/>
              </w:rPr>
            </w:pPr>
            <w:r>
              <w:rPr>
                <w:rFonts w:hint="eastAsia" w:ascii="宋体" w:hAnsi="宋体"/>
                <w:b/>
                <w:sz w:val="21"/>
                <w:szCs w:val="21"/>
              </w:rPr>
              <w:t>相关方需求和期望识别情况</w:t>
            </w:r>
          </w:p>
          <w:p>
            <w:pPr>
              <w:numPr>
                <w:ilvl w:val="0"/>
                <w:numId w:val="0"/>
              </w:numPr>
              <w:spacing w:line="240" w:lineRule="exact"/>
              <w:ind w:firstLine="210" w:firstLineChars="100"/>
              <w:rPr>
                <w:rFonts w:hint="eastAsia" w:ascii="宋体" w:hAnsi="宋体"/>
                <w:b/>
                <w:sz w:val="21"/>
                <w:szCs w:val="21"/>
              </w:rPr>
            </w:pPr>
            <w:r>
              <w:rPr>
                <w:rFonts w:hint="eastAsia" w:ascii="宋体" w:hAnsi="宋体" w:cs="宋体"/>
                <w:color w:val="000000"/>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rPr>
                <w:rFonts w:ascii="宋体" w:hAnsi="宋体"/>
                <w:b/>
                <w:sz w:val="21"/>
                <w:szCs w:val="21"/>
              </w:rPr>
            </w:pPr>
            <w:r>
              <w:rPr>
                <w:rFonts w:hint="eastAsia" w:ascii="宋体" w:hAnsi="宋体" w:cs="宋体"/>
                <w:color w:val="000000"/>
                <w:sz w:val="21"/>
                <w:szCs w:val="21"/>
                <w:lang w:eastAsia="zh-CN"/>
              </w:rPr>
              <w:t>■</w:t>
            </w:r>
            <w:r>
              <w:rPr>
                <w:rFonts w:hint="eastAsia" w:ascii="宋体" w:hAnsi="宋体" w:cs="宋体"/>
                <w:color w:val="000000"/>
                <w:sz w:val="21"/>
                <w:szCs w:val="21"/>
              </w:rPr>
              <w:t>质量/</w:t>
            </w:r>
            <w:r>
              <w:rPr>
                <w:rFonts w:hint="eastAsia" w:ascii="宋体" w:hAnsi="宋体" w:cs="宋体"/>
                <w:color w:val="000000"/>
                <w:sz w:val="21"/>
                <w:szCs w:val="21"/>
                <w:lang w:eastAsia="zh-CN"/>
              </w:rPr>
              <w:t>■</w:t>
            </w:r>
            <w:r>
              <w:rPr>
                <w:rFonts w:hint="eastAsia" w:ascii="宋体" w:hAnsi="宋体" w:cs="宋体"/>
                <w:color w:val="000000"/>
                <w:sz w:val="21"/>
                <w:szCs w:val="21"/>
              </w:rPr>
              <w:t>环境/</w:t>
            </w:r>
            <w:r>
              <w:rPr>
                <w:rFonts w:hint="eastAsia" w:ascii="宋体" w:hAnsi="宋体" w:cs="宋体"/>
                <w:color w:val="000000"/>
                <w:sz w:val="21"/>
                <w:szCs w:val="21"/>
                <w:lang w:eastAsia="zh-CN"/>
              </w:rPr>
              <w:t>□</w:t>
            </w:r>
            <w:r>
              <w:rPr>
                <w:rFonts w:hint="eastAsia" w:ascii="宋体" w:hAnsi="宋体" w:cs="宋体"/>
                <w:color w:val="000000"/>
                <w:sz w:val="21"/>
                <w:szCs w:val="21"/>
              </w:rPr>
              <w:t>职业健康安全方针（组织方针的适宜性/持续适宜性、方针的传达及职工的理解等）组织的</w:t>
            </w:r>
            <w:r>
              <w:rPr>
                <w:rFonts w:hint="eastAsia" w:ascii="宋体" w:hAnsi="宋体" w:cs="宋体"/>
                <w:color w:val="000000"/>
                <w:sz w:val="21"/>
                <w:szCs w:val="21"/>
                <w:lang w:eastAsia="zh-CN"/>
              </w:rPr>
              <w:t>质量、环境</w:t>
            </w:r>
            <w:r>
              <w:rPr>
                <w:rFonts w:hint="eastAsia" w:ascii="宋体" w:hAnsi="宋体" w:cs="宋体"/>
                <w:color w:val="000000"/>
                <w:sz w:val="21"/>
                <w:szCs w:val="21"/>
                <w:lang w:val="en-US" w:eastAsia="zh-CN"/>
              </w:rPr>
              <w:t>管理</w:t>
            </w:r>
            <w:r>
              <w:rPr>
                <w:rFonts w:hint="eastAsia" w:ascii="宋体" w:hAnsi="宋体" w:cs="宋体"/>
                <w:color w:val="000000"/>
                <w:sz w:val="21"/>
                <w:szCs w:val="21"/>
              </w:rPr>
              <w:t>方针为：</w:t>
            </w:r>
            <w:r>
              <w:rPr>
                <w:rFonts w:hint="eastAsia" w:ascii="宋体" w:hAnsi="宋体" w:cs="宋体"/>
                <w:sz w:val="21"/>
                <w:szCs w:val="21"/>
              </w:rPr>
              <w:t>“</w:t>
            </w:r>
            <w:r>
              <w:rPr>
                <w:rFonts w:hint="eastAsia" w:ascii="宋体" w:hAnsi="宋体"/>
                <w:sz w:val="21"/>
                <w:szCs w:val="21"/>
              </w:rPr>
              <w:t>质量第一、管理至上，以客为尊，持续改进</w:t>
            </w:r>
            <w:r>
              <w:rPr>
                <w:rFonts w:hint="eastAsia" w:ascii="宋体" w:hAnsi="宋体"/>
                <w:sz w:val="21"/>
                <w:szCs w:val="21"/>
                <w:lang w:eastAsia="zh-CN"/>
              </w:rPr>
              <w:t>，</w:t>
            </w:r>
            <w:r>
              <w:rPr>
                <w:rFonts w:hint="eastAsia" w:ascii="宋体" w:hAnsi="宋体"/>
                <w:sz w:val="21"/>
                <w:szCs w:val="21"/>
              </w:rPr>
              <w:t>遵守法规，预防污染，节能降耗，持续改进”。</w:t>
            </w: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80" w:lineRule="exact"/>
              <w:ind w:left="0" w:leftChars="0" w:firstLine="0" w:firstLineChars="0"/>
              <w:rPr>
                <w:rFonts w:hint="eastAsia" w:ascii="宋体" w:hAnsi="宋体"/>
                <w:b/>
                <w:sz w:val="21"/>
                <w:szCs w:val="21"/>
              </w:rPr>
            </w:pPr>
            <w:r>
              <w:rPr>
                <w:rFonts w:hint="eastAsia" w:ascii="宋体" w:hAnsi="宋体"/>
                <w:b/>
                <w:sz w:val="21"/>
                <w:szCs w:val="21"/>
              </w:rPr>
              <w:t>风险识别与控制策划</w:t>
            </w:r>
          </w:p>
          <w:p>
            <w:pPr>
              <w:numPr>
                <w:ilvl w:val="0"/>
                <w:numId w:val="0"/>
              </w:numPr>
              <w:spacing w:line="280" w:lineRule="exact"/>
              <w:ind w:leftChars="0"/>
              <w:rPr>
                <w:rFonts w:hint="eastAsia" w:ascii="宋体" w:hAnsi="宋体"/>
                <w:b/>
                <w:sz w:val="21"/>
                <w:szCs w:val="21"/>
              </w:rPr>
            </w:pPr>
            <w:r>
              <w:rPr>
                <w:rFonts w:hint="eastAsia" w:ascii="宋体" w:hAnsi="宋体" w:cs="宋体"/>
                <w:color w:val="000000"/>
                <w:sz w:val="21"/>
                <w:szCs w:val="21"/>
              </w:rPr>
              <w:t>公司了建立了风险和机遇应对措施的管控文件《风险识别和应对控制程序》，并在体系运行中加以应用，符合标准要求。从现场及资料确认：主要风险和机遇的应对措施得当，应对效果基本满足要求。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p>
          <w:p>
            <w:pPr>
              <w:tabs>
                <w:tab w:val="left" w:pos="1080"/>
              </w:tabs>
              <w:rPr>
                <w:rFonts w:hint="eastAsia" w:ascii="宋体" w:hAnsi="宋体" w:eastAsia="宋体"/>
                <w:b/>
                <w:sz w:val="21"/>
                <w:szCs w:val="21"/>
                <w:lang w:eastAsia="zh-CN"/>
              </w:rPr>
            </w:pPr>
            <w:r>
              <w:rPr>
                <w:rFonts w:hint="eastAsia" w:ascii="宋体" w:hAnsi="宋体"/>
                <w:b/>
                <w:sz w:val="21"/>
                <w:szCs w:val="21"/>
              </w:rPr>
              <w:t>质量管理体系过程有：</w:t>
            </w:r>
            <w:r>
              <w:rPr>
                <w:rFonts w:hint="eastAsia" w:ascii="宋体" w:cs="宋体"/>
                <w:sz w:val="21"/>
                <w:szCs w:val="21"/>
              </w:rPr>
              <w:t>销售流程：</w:t>
            </w:r>
            <w:r>
              <w:rPr>
                <w:rFonts w:hint="eastAsia"/>
                <w:sz w:val="21"/>
                <w:szCs w:val="21"/>
              </w:rPr>
              <w:t>联系客户—业务洽谈—合同签订—准备产品—检验—产品销售—客户签收—销售服务</w:t>
            </w:r>
            <w:r>
              <w:rPr>
                <w:rFonts w:hint="eastAsia" w:ascii="宋体" w:hAnsi="宋体" w:cs="宋体"/>
                <w:sz w:val="21"/>
                <w:szCs w:val="21"/>
                <w:lang w:eastAsia="zh-CN"/>
              </w:rPr>
              <w:t>。</w:t>
            </w:r>
          </w:p>
          <w:p>
            <w:pPr>
              <w:tabs>
                <w:tab w:val="left" w:pos="540"/>
              </w:tabs>
              <w:spacing w:line="300" w:lineRule="exact"/>
              <w:ind w:left="211" w:hanging="211" w:hangingChars="100"/>
              <w:rPr>
                <w:rFonts w:hint="default" w:ascii="宋体" w:hAnsi="宋体" w:eastAsia="宋体"/>
                <w:b/>
                <w:sz w:val="21"/>
                <w:szCs w:val="21"/>
                <w:lang w:val="en-US" w:eastAsia="zh-CN"/>
              </w:rPr>
            </w:pPr>
            <w:r>
              <w:rPr>
                <w:rFonts w:hint="eastAsia" w:ascii="宋体" w:hAnsi="宋体"/>
                <w:b/>
                <w:sz w:val="21"/>
                <w:szCs w:val="21"/>
              </w:rPr>
              <w:t>其中关键过程有</w:t>
            </w:r>
            <w:r>
              <w:rPr>
                <w:rFonts w:hint="eastAsia" w:ascii="宋体" w:hAnsi="宋体"/>
                <w:b/>
                <w:sz w:val="21"/>
                <w:szCs w:val="21"/>
                <w:lang w:eastAsia="zh-CN"/>
              </w:rPr>
              <w:t>：</w:t>
            </w:r>
            <w:r>
              <w:rPr>
                <w:rFonts w:hint="eastAsia" w:ascii="宋体" w:hAnsi="宋体"/>
                <w:b/>
                <w:sz w:val="21"/>
                <w:szCs w:val="21"/>
                <w:lang w:val="en-US" w:eastAsia="zh-CN"/>
              </w:rPr>
              <w:t>销售过程</w:t>
            </w:r>
          </w:p>
          <w:p>
            <w:pPr>
              <w:tabs>
                <w:tab w:val="left" w:pos="540"/>
              </w:tabs>
              <w:spacing w:line="300" w:lineRule="exact"/>
              <w:ind w:left="211" w:hanging="211" w:hangingChars="100"/>
              <w:rPr>
                <w:rFonts w:hint="default" w:ascii="宋体" w:hAnsi="宋体" w:eastAsia="宋体"/>
                <w:b/>
                <w:sz w:val="21"/>
                <w:szCs w:val="21"/>
                <w:lang w:val="en-US" w:eastAsia="zh-CN"/>
              </w:rPr>
            </w:pPr>
            <w:r>
              <w:rPr>
                <w:rFonts w:hint="eastAsia" w:ascii="宋体" w:hAnsi="宋体"/>
                <w:b/>
                <w:sz w:val="21"/>
                <w:szCs w:val="21"/>
              </w:rPr>
              <w:t>需要确认过程</w:t>
            </w:r>
            <w:r>
              <w:rPr>
                <w:rFonts w:hint="eastAsia" w:ascii="宋体" w:hAnsi="宋体"/>
                <w:b/>
                <w:sz w:val="21"/>
                <w:szCs w:val="21"/>
                <w:lang w:eastAsia="zh-CN"/>
              </w:rPr>
              <w:t>：</w:t>
            </w:r>
            <w:r>
              <w:rPr>
                <w:rFonts w:hint="eastAsia" w:ascii="宋体" w:hAnsi="宋体"/>
                <w:b/>
                <w:sz w:val="21"/>
                <w:szCs w:val="21"/>
                <w:lang w:val="en-US" w:eastAsia="zh-CN"/>
              </w:rPr>
              <w:t>销售过程</w:t>
            </w:r>
          </w:p>
          <w:p>
            <w:pPr>
              <w:tabs>
                <w:tab w:val="left" w:pos="540"/>
              </w:tabs>
              <w:spacing w:line="300" w:lineRule="exact"/>
              <w:ind w:left="211" w:hanging="211" w:hangingChars="100"/>
              <w:rPr>
                <w:rFonts w:hint="eastAsia" w:ascii="宋体" w:hAnsi="宋体" w:eastAsia="宋体"/>
                <w:b/>
                <w:sz w:val="21"/>
                <w:szCs w:val="21"/>
                <w:lang w:eastAsia="zh-CN"/>
              </w:rPr>
            </w:pPr>
            <w:r>
              <w:rPr>
                <w:rFonts w:ascii="宋体" w:hAnsi="宋体"/>
                <w:b/>
                <w:sz w:val="21"/>
                <w:szCs w:val="21"/>
              </w:rPr>
              <w:pict>
                <v:shape id="_x0000_s2051" o:spid="_x0000_s2051" o:spt="32" type="#_x0000_t32" style="position:absolute;left:0pt;margin-left:157.9pt;margin-top:12.75pt;height:0pt;width:261.75pt;z-index:251661312;mso-width-relative:page;mso-height-relative:page;" o:connectortype="straight" filled="f" coordsize="21600,21600">
                  <v:path arrowok="t"/>
                  <v:fill on="f" focussize="0,0"/>
                  <v:stroke/>
                  <v:imagedata o:title=""/>
                  <o:lock v:ext="edit"/>
                </v:shape>
              </w:pict>
            </w:r>
            <w:r>
              <w:rPr>
                <w:rFonts w:ascii="宋体" w:hAnsi="宋体"/>
                <w:b/>
                <w:sz w:val="21"/>
                <w:szCs w:val="21"/>
              </w:rPr>
              <w:pict>
                <v:shape id="_x0000_s2052" o:spid="_x0000_s2052"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w:t>
            </w:r>
            <w:r>
              <w:rPr>
                <w:rFonts w:hint="eastAsia" w:ascii="宋体" w:hAnsi="宋体"/>
                <w:b/>
                <w:sz w:val="21"/>
                <w:szCs w:val="21"/>
                <w:lang w:val="en-US" w:eastAsia="zh-CN"/>
              </w:rPr>
              <w:t>Q8.3  ，</w:t>
            </w:r>
            <w:r>
              <w:rPr>
                <w:rFonts w:hint="eastAsia" w:ascii="宋体" w:hAnsi="宋体"/>
                <w:b/>
                <w:sz w:val="21"/>
                <w:szCs w:val="21"/>
              </w:rPr>
              <w:t>删减理由：</w:t>
            </w:r>
            <w:r>
              <w:rPr>
                <w:rFonts w:hint="eastAsia" w:ascii="宋体" w:hAnsi="宋体" w:cs="宋体"/>
                <w:color w:val="000000"/>
                <w:sz w:val="21"/>
                <w:szCs w:val="21"/>
              </w:rPr>
              <w:t>公司的产品的销售客户比较固定，销售模式固定</w:t>
            </w:r>
            <w:r>
              <w:rPr>
                <w:rFonts w:hint="eastAsia" w:ascii="宋体" w:hAnsi="宋体" w:cs="宋体"/>
                <w:color w:val="000000"/>
                <w:sz w:val="21"/>
                <w:szCs w:val="21"/>
                <w:lang w:eastAsia="zh-CN"/>
              </w:rPr>
              <w:t>。</w:t>
            </w:r>
          </w:p>
          <w:p>
            <w:pPr>
              <w:tabs>
                <w:tab w:val="left" w:pos="540"/>
              </w:tabs>
              <w:spacing w:line="300" w:lineRule="exact"/>
              <w:ind w:left="211" w:hanging="211" w:hangingChars="10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lang w:eastAsia="zh-CN"/>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ind w:firstLine="210" w:firstLineChars="100"/>
              <w:rPr>
                <w:rFonts w:hint="eastAsia" w:ascii="宋体" w:hAnsi="宋体" w:eastAsiaTheme="minorEastAsia"/>
                <w:b/>
                <w:sz w:val="21"/>
                <w:szCs w:val="21"/>
                <w:lang w:eastAsia="zh-CN"/>
              </w:rPr>
            </w:pPr>
            <w:r>
              <w:rPr>
                <w:rFonts w:hint="eastAsia" w:ascii="宋体" w:hAnsi="宋体" w:eastAsia="宋体" w:cs="宋体"/>
                <w:bCs/>
                <w:iCs/>
                <w:sz w:val="21"/>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w:t>
            </w:r>
            <w:r>
              <w:rPr>
                <w:rFonts w:hint="eastAsia" w:ascii="宋体" w:hAnsi="宋体" w:eastAsia="宋体" w:cs="宋体"/>
                <w:bCs/>
                <w:iCs/>
                <w:sz w:val="21"/>
                <w:szCs w:val="21"/>
                <w:lang w:val="en-US" w:eastAsia="zh-CN"/>
              </w:rPr>
              <w:t>管理方案</w:t>
            </w:r>
            <w:r>
              <w:rPr>
                <w:rFonts w:hint="eastAsia" w:ascii="宋体" w:hAnsi="宋体" w:eastAsia="宋体" w:cs="宋体"/>
                <w:bCs/>
                <w:iCs/>
                <w:sz w:val="21"/>
                <w:szCs w:val="21"/>
              </w:rPr>
              <w:t>等</w:t>
            </w:r>
            <w:r>
              <w:rPr>
                <w:rFonts w:hint="eastAsia" w:ascii="宋体" w:hAnsi="宋体" w:eastAsia="宋体" w:cs="宋体"/>
                <w:bCs/>
                <w:i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lang w:eastAsia="zh-CN"/>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hint="eastAsia"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40" w:lineRule="exact"/>
              <w:ind w:firstLine="211" w:firstLineChars="100"/>
              <w:rPr>
                <w:rFonts w:hint="eastAsia"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4"/>
              <w:numPr>
                <w:ilvl w:val="0"/>
                <w:numId w:val="2"/>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4"/>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4"/>
              <w:numPr>
                <w:ilvl w:val="0"/>
                <w:numId w:val="2"/>
              </w:numPr>
              <w:tabs>
                <w:tab w:val="left" w:pos="540"/>
              </w:tabs>
              <w:spacing w:line="300" w:lineRule="exact"/>
              <w:ind w:firstLineChars="0"/>
              <w:rPr>
                <w:rFonts w:ascii="宋体" w:hAnsi="宋体"/>
                <w:b/>
                <w:szCs w:val="21"/>
              </w:rPr>
            </w:pPr>
            <w:r>
              <w:rPr>
                <w:rFonts w:hint="eastAsia" w:ascii="宋体" w:hAnsi="宋体"/>
                <w:b/>
                <w:szCs w:val="21"/>
              </w:rPr>
              <w:t>法律法规的宣传方式：</w:t>
            </w:r>
          </w:p>
          <w:p>
            <w:pPr>
              <w:pStyle w:val="14"/>
              <w:numPr>
                <w:ilvl w:val="0"/>
                <w:numId w:val="2"/>
              </w:numPr>
              <w:tabs>
                <w:tab w:val="left" w:pos="540"/>
              </w:tabs>
              <w:spacing w:line="300" w:lineRule="exact"/>
              <w:ind w:firstLineChars="0"/>
              <w:rPr>
                <w:rFonts w:ascii="宋体" w:hAnsi="宋体"/>
                <w:b/>
                <w:szCs w:val="21"/>
              </w:rPr>
            </w:pPr>
            <w:r>
              <w:rPr>
                <w:rFonts w:hint="eastAsia" w:ascii="宋体" w:hAnsi="宋体"/>
                <w:b/>
                <w:szCs w:val="21"/>
              </w:rPr>
              <w:t>法律法规要求及时更新了</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hint="eastAsia"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300" w:lineRule="exact"/>
              <w:ind w:firstLine="420" w:firstLineChars="200"/>
              <w:rPr>
                <w:rFonts w:hint="eastAsia" w:ascii="宋体" w:hAnsi="宋体" w:cs="宋体"/>
                <w:color w:val="000000"/>
                <w:kern w:val="0"/>
                <w:sz w:val="21"/>
                <w:szCs w:val="21"/>
                <w:highlight w:val="none"/>
                <w:lang w:eastAsia="zh-CN"/>
              </w:rPr>
            </w:pPr>
            <w:r>
              <w:rPr>
                <w:rFonts w:hint="eastAsia" w:ascii="宋体" w:hAnsi="宋体" w:cs="宋体"/>
                <w:color w:val="000000"/>
                <w:kern w:val="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w:t>
            </w:r>
            <w:r>
              <w:rPr>
                <w:rFonts w:hint="eastAsia" w:ascii="宋体" w:hAnsi="宋体" w:cs="宋体"/>
                <w:color w:val="000000"/>
                <w:kern w:val="0"/>
                <w:sz w:val="21"/>
                <w:szCs w:val="21"/>
                <w:highlight w:val="none"/>
              </w:rPr>
              <w:t>不到位</w:t>
            </w:r>
            <w:r>
              <w:rPr>
                <w:rFonts w:hint="eastAsia" w:ascii="宋体" w:hAnsi="宋体" w:cs="宋体"/>
                <w:color w:val="000000"/>
                <w:kern w:val="0"/>
                <w:sz w:val="21"/>
                <w:szCs w:val="21"/>
                <w:highlight w:val="none"/>
                <w:lang w:eastAsia="zh-CN"/>
              </w:rPr>
              <w:t>。</w:t>
            </w:r>
          </w:p>
          <w:p>
            <w:pPr>
              <w:rPr>
                <w:rFonts w:hint="default" w:ascii="宋体" w:hAnsi="宋体" w:cs="宋体"/>
                <w:color w:val="000000"/>
                <w:sz w:val="21"/>
                <w:szCs w:val="21"/>
                <w:highlight w:val="none"/>
                <w:lang w:val="en-US" w:eastAsia="zh-CN" w:bidi="ar"/>
              </w:rPr>
            </w:pPr>
            <w:bookmarkStart w:id="29" w:name="OLE_LINK3"/>
            <w:r>
              <w:rPr>
                <w:rFonts w:hint="eastAsia" w:ascii="宋体" w:hAnsi="宋体" w:cs="宋体"/>
                <w:color w:val="000000"/>
                <w:sz w:val="21"/>
                <w:szCs w:val="21"/>
                <w:highlight w:val="none"/>
                <w:lang w:eastAsia="zh-CN" w:bidi="ar"/>
              </w:rPr>
              <w:t>质量、环境目标：</w:t>
            </w:r>
            <w:r>
              <w:rPr>
                <w:rFonts w:hint="eastAsia" w:ascii="宋体" w:hAnsi="宋体" w:cs="宋体"/>
                <w:color w:val="000000"/>
                <w:sz w:val="21"/>
                <w:szCs w:val="21"/>
                <w:highlight w:val="none"/>
                <w:lang w:val="en-US" w:eastAsia="zh-CN" w:bidi="ar"/>
              </w:rPr>
              <w:t xml:space="preserve">                   考核情况：2019年1季度至4季度</w:t>
            </w:r>
          </w:p>
          <w:bookmarkEnd w:id="29"/>
          <w:p>
            <w:pPr>
              <w:pStyle w:val="3"/>
              <w:tabs>
                <w:tab w:val="left" w:pos="1260"/>
              </w:tabs>
              <w:ind w:firstLine="210" w:firstLineChars="100"/>
              <w:rPr>
                <w:rFonts w:hint="default" w:hAnsi="宋体" w:eastAsia="宋体"/>
                <w:sz w:val="21"/>
                <w:szCs w:val="21"/>
                <w:highlight w:val="none"/>
                <w:lang w:val="en-US" w:eastAsia="zh-CN"/>
              </w:rPr>
            </w:pPr>
            <w:r>
              <w:rPr>
                <w:rFonts w:hAnsi="宋体"/>
                <w:sz w:val="21"/>
                <w:szCs w:val="21"/>
                <w:highlight w:val="none"/>
              </w:rPr>
              <w:t>1）销售产品合格率100%；</w:t>
            </w:r>
            <w:r>
              <w:rPr>
                <w:rFonts w:hint="eastAsia" w:hAnsi="宋体"/>
                <w:sz w:val="21"/>
                <w:szCs w:val="21"/>
                <w:highlight w:val="none"/>
                <w:lang w:val="en-US" w:eastAsia="zh-CN"/>
              </w:rPr>
              <w:t xml:space="preserve">            实测：100%</w:t>
            </w:r>
          </w:p>
          <w:p>
            <w:pPr>
              <w:pStyle w:val="3"/>
              <w:tabs>
                <w:tab w:val="left" w:pos="1260"/>
              </w:tabs>
              <w:ind w:firstLine="210" w:firstLineChars="100"/>
              <w:rPr>
                <w:rFonts w:hint="default" w:hAnsi="宋体" w:eastAsia="宋体"/>
                <w:sz w:val="21"/>
                <w:szCs w:val="21"/>
                <w:highlight w:val="none"/>
                <w:lang w:val="en-US" w:eastAsia="zh-CN"/>
              </w:rPr>
            </w:pPr>
            <w:r>
              <w:rPr>
                <w:rFonts w:hAnsi="宋体"/>
                <w:sz w:val="21"/>
                <w:szCs w:val="21"/>
                <w:highlight w:val="none"/>
              </w:rPr>
              <w:t>2）产品按期交付率≥98%；</w:t>
            </w:r>
            <w:r>
              <w:rPr>
                <w:rFonts w:hint="eastAsia" w:hAnsi="宋体"/>
                <w:sz w:val="21"/>
                <w:szCs w:val="21"/>
                <w:highlight w:val="none"/>
                <w:lang w:val="en-US" w:eastAsia="zh-CN"/>
              </w:rPr>
              <w:t xml:space="preserve">            实测：100%</w:t>
            </w:r>
          </w:p>
          <w:p>
            <w:pPr>
              <w:ind w:firstLine="210" w:firstLineChars="100"/>
              <w:rPr>
                <w:rFonts w:hint="eastAsia" w:ascii="宋体" w:hAnsi="宋体" w:cs="宋体"/>
                <w:color w:val="000000"/>
                <w:sz w:val="21"/>
                <w:szCs w:val="21"/>
                <w:highlight w:val="none"/>
                <w:lang w:eastAsia="zh-CN" w:bidi="ar"/>
              </w:rPr>
            </w:pPr>
            <w:r>
              <w:rPr>
                <w:rFonts w:hint="eastAsia" w:ascii="宋体" w:hAnsi="宋体"/>
                <w:sz w:val="21"/>
                <w:szCs w:val="21"/>
                <w:highlight w:val="none"/>
              </w:rPr>
              <w:t>3）顾客满意率95分以上。</w:t>
            </w:r>
            <w:r>
              <w:rPr>
                <w:rFonts w:hint="eastAsia" w:ascii="宋体" w:hAnsi="宋体"/>
                <w:sz w:val="21"/>
                <w:szCs w:val="21"/>
                <w:highlight w:val="none"/>
                <w:lang w:val="en-US" w:eastAsia="zh-CN"/>
              </w:rPr>
              <w:t xml:space="preserve">            </w:t>
            </w:r>
            <w:r>
              <w:rPr>
                <w:rFonts w:hint="eastAsia" w:hAnsi="宋体"/>
                <w:sz w:val="21"/>
                <w:szCs w:val="21"/>
                <w:highlight w:val="none"/>
                <w:lang w:val="en-US" w:eastAsia="zh-CN"/>
              </w:rPr>
              <w:t>实测：98</w:t>
            </w:r>
          </w:p>
          <w:p>
            <w:pPr>
              <w:numPr>
                <w:ilvl w:val="0"/>
                <w:numId w:val="0"/>
              </w:numPr>
              <w:ind w:firstLine="210" w:firstLineChars="100"/>
              <w:rPr>
                <w:rFonts w:hint="eastAsia" w:ascii="宋体" w:hAnsi="宋体"/>
                <w:sz w:val="21"/>
                <w:szCs w:val="21"/>
                <w:highlight w:val="none"/>
              </w:rPr>
            </w:pPr>
            <w:r>
              <w:rPr>
                <w:rFonts w:hint="eastAsia" w:ascii="宋体" w:hAnsi="宋体"/>
                <w:sz w:val="21"/>
                <w:szCs w:val="21"/>
                <w:highlight w:val="none"/>
                <w:lang w:val="en-US" w:eastAsia="zh-CN"/>
              </w:rPr>
              <w:t>4）</w:t>
            </w:r>
            <w:r>
              <w:rPr>
                <w:rFonts w:hint="eastAsia" w:ascii="宋体" w:hAnsi="宋体"/>
                <w:sz w:val="21"/>
                <w:szCs w:val="21"/>
                <w:highlight w:val="none"/>
              </w:rPr>
              <w:t>火灾、触电事故为0；</w:t>
            </w:r>
            <w:r>
              <w:rPr>
                <w:rFonts w:hint="eastAsia" w:ascii="宋体" w:hAnsi="宋体"/>
                <w:sz w:val="21"/>
                <w:szCs w:val="21"/>
                <w:highlight w:val="none"/>
                <w:lang w:val="en-US" w:eastAsia="zh-CN"/>
              </w:rPr>
              <w:t xml:space="preserve">              </w:t>
            </w:r>
            <w:r>
              <w:rPr>
                <w:rFonts w:hint="eastAsia" w:hAnsi="宋体"/>
                <w:sz w:val="21"/>
                <w:szCs w:val="21"/>
                <w:highlight w:val="none"/>
                <w:lang w:val="en-US" w:eastAsia="zh-CN"/>
              </w:rPr>
              <w:t>实测：未发生</w:t>
            </w:r>
            <w:r>
              <w:rPr>
                <w:rFonts w:hint="eastAsia" w:ascii="宋体" w:hAnsi="宋体"/>
                <w:sz w:val="21"/>
                <w:szCs w:val="21"/>
                <w:highlight w:val="none"/>
              </w:rPr>
              <w:t>火灾、触电事故</w:t>
            </w:r>
          </w:p>
          <w:p>
            <w:pPr>
              <w:numPr>
                <w:ilvl w:val="0"/>
                <w:numId w:val="0"/>
              </w:numPr>
              <w:ind w:firstLine="210" w:firstLineChars="100"/>
              <w:rPr>
                <w:rFonts w:hint="eastAsia" w:ascii="宋体" w:hAnsi="宋体"/>
                <w:sz w:val="21"/>
                <w:szCs w:val="21"/>
                <w:highlight w:val="none"/>
              </w:rPr>
            </w:pPr>
            <w:r>
              <w:rPr>
                <w:rFonts w:hint="eastAsia" w:ascii="宋体" w:hAnsi="宋体"/>
                <w:sz w:val="21"/>
                <w:szCs w:val="21"/>
                <w:highlight w:val="none"/>
                <w:lang w:val="en-US" w:eastAsia="zh-CN"/>
              </w:rPr>
              <w:t>5）</w:t>
            </w:r>
            <w:r>
              <w:rPr>
                <w:rFonts w:hint="eastAsia" w:ascii="宋体" w:hAnsi="宋体"/>
                <w:sz w:val="21"/>
                <w:szCs w:val="21"/>
                <w:highlight w:val="none"/>
              </w:rPr>
              <w:t>固废分类回收处理率100%</w:t>
            </w:r>
            <w:r>
              <w:rPr>
                <w:rFonts w:hint="eastAsia" w:ascii="宋体" w:hAnsi="宋体"/>
                <w:sz w:val="21"/>
                <w:szCs w:val="21"/>
                <w:highlight w:val="none"/>
                <w:lang w:eastAsia="zh-CN"/>
              </w:rPr>
              <w:t>。</w:t>
            </w:r>
            <w:r>
              <w:rPr>
                <w:rFonts w:hint="eastAsia" w:ascii="宋体" w:hAnsi="宋体"/>
                <w:sz w:val="21"/>
                <w:szCs w:val="21"/>
                <w:highlight w:val="none"/>
                <w:lang w:val="en-US" w:eastAsia="zh-CN"/>
              </w:rPr>
              <w:t xml:space="preserve">         实测：100%</w:t>
            </w:r>
          </w:p>
          <w:p>
            <w:pPr>
              <w:spacing w:line="300" w:lineRule="exact"/>
              <w:rPr>
                <w:rFonts w:hint="eastAsia"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ind w:firstLine="210" w:firstLineChars="100"/>
              <w:rPr>
                <w:rFonts w:ascii="宋体" w:hAnsi="宋体"/>
                <w:b/>
                <w:sz w:val="21"/>
                <w:szCs w:val="21"/>
              </w:rPr>
            </w:pPr>
            <w:r>
              <w:rPr>
                <w:rFonts w:hint="eastAsia" w:ascii="宋体" w:hAnsi="宋体" w:eastAsia="宋体" w:cs="宋体"/>
                <w:sz w:val="21"/>
                <w:szCs w:val="21"/>
              </w:rPr>
              <w:t>公司编制了《文件、记录控制程序》并按照申请认证的标准要求，建立并形成了文件化的质量管理体系，体系文件对管理体系各过程进行了识别确定，明确了各要素间的相互关系及其管控要求。公司体</w:t>
            </w:r>
            <w:r>
              <w:rPr>
                <w:rFonts w:hint="eastAsia" w:ascii="宋体" w:hAnsi="宋体" w:eastAsia="宋体" w:cs="宋体"/>
                <w:sz w:val="21"/>
                <w:szCs w:val="21"/>
                <w:highlight w:val="none"/>
              </w:rPr>
              <w:t>系文件于201</w:t>
            </w:r>
            <w:r>
              <w:rPr>
                <w:rFonts w:hint="eastAsia" w:ascii="宋体" w:hAnsi="宋体" w:cs="宋体"/>
                <w:sz w:val="21"/>
                <w:szCs w:val="21"/>
                <w:highlight w:val="none"/>
                <w:lang w:val="en-US" w:eastAsia="zh-CN"/>
              </w:rPr>
              <w:t>8</w:t>
            </w:r>
            <w:r>
              <w:rPr>
                <w:rFonts w:hint="eastAsia" w:ascii="宋体" w:hAnsi="宋体" w:eastAsia="宋体" w:cs="宋体"/>
                <w:sz w:val="21"/>
                <w:szCs w:val="21"/>
                <w:highlight w:val="none"/>
              </w:rPr>
              <w:t>年</w:t>
            </w:r>
            <w:r>
              <w:rPr>
                <w:rFonts w:hint="eastAsia" w:ascii="宋体" w:hAnsi="宋体" w:cs="宋体"/>
                <w:sz w:val="21"/>
                <w:szCs w:val="21"/>
                <w:highlight w:val="none"/>
                <w:lang w:val="en-US" w:eastAsia="zh-CN"/>
              </w:rPr>
              <w:t>9</w:t>
            </w:r>
            <w:r>
              <w:rPr>
                <w:rFonts w:hint="eastAsia" w:ascii="宋体" w:hAnsi="宋体" w:eastAsia="宋体" w:cs="宋体"/>
                <w:sz w:val="21"/>
                <w:szCs w:val="21"/>
                <w:highlight w:val="none"/>
              </w:rPr>
              <w:t>月1日予以发布并有效实</w:t>
            </w:r>
            <w:r>
              <w:rPr>
                <w:rFonts w:hint="eastAsia" w:ascii="宋体" w:hAnsi="宋体" w:eastAsia="宋体" w:cs="宋体"/>
                <w:sz w:val="21"/>
                <w:szCs w:val="21"/>
              </w:rPr>
              <w:t>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tabs>
                <w:tab w:val="left" w:pos="2552"/>
              </w:tabs>
              <w:spacing w:line="0" w:lineRule="atLeast"/>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组织按管理体系需求配置了充足的人员、设施、监视和测量设备等资源，并建立维持了人力资源管理及相关服务运行环境，可以维持管理体系的正常运行。</w:t>
            </w:r>
          </w:p>
          <w:p>
            <w:pPr>
              <w:spacing w:line="300" w:lineRule="exact"/>
              <w:rPr>
                <w:rFonts w:ascii="宋体" w:hAnsi="宋体"/>
                <w:b/>
                <w:sz w:val="21"/>
                <w:szCs w:val="21"/>
              </w:rPr>
            </w:pPr>
            <w:r>
              <w:rPr>
                <w:rFonts w:hint="eastAsia" w:ascii="宋体" w:hAnsi="宋体" w:eastAsia="宋体" w:cs="宋体"/>
                <w:kern w:val="2"/>
                <w:sz w:val="21"/>
                <w:szCs w:val="21"/>
                <w:lang w:val="en-US" w:eastAsia="zh-CN" w:bidi="ar-SA"/>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360" w:lineRule="auto"/>
              <w:ind w:firstLine="420" w:firstLineChars="200"/>
              <w:jc w:val="left"/>
              <w:rPr>
                <w:rFonts w:ascii="宋体" w:hAnsi="宋体"/>
                <w:b/>
                <w:sz w:val="21"/>
                <w:szCs w:val="21"/>
              </w:rPr>
            </w:pPr>
            <w:r>
              <w:rPr>
                <w:rFonts w:hint="eastAsia" w:ascii="宋体" w:hAnsi="宋体" w:cs="宋体"/>
                <w:sz w:val="21"/>
                <w:szCs w:val="21"/>
                <w:highlight w:val="none"/>
                <w:lang w:val="en-US" w:eastAsia="zh-CN"/>
              </w:rPr>
              <w:t>办公</w:t>
            </w:r>
            <w:r>
              <w:rPr>
                <w:rFonts w:hint="eastAsia" w:ascii="宋体" w:hAnsi="宋体" w:cs="宋体"/>
                <w:sz w:val="21"/>
                <w:szCs w:val="21"/>
                <w:highlight w:val="none"/>
              </w:rPr>
              <w:t>面积</w:t>
            </w:r>
            <w:r>
              <w:rPr>
                <w:rFonts w:hint="eastAsia" w:ascii="宋体" w:hAnsi="宋体" w:cs="宋体"/>
                <w:sz w:val="21"/>
                <w:szCs w:val="21"/>
                <w:highlight w:val="none"/>
                <w:lang w:val="en-US" w:eastAsia="zh-CN"/>
              </w:rPr>
              <w:t>200</w:t>
            </w:r>
            <w:r>
              <w:rPr>
                <w:rFonts w:hint="eastAsia" w:ascii="宋体" w:hAnsi="宋体" w:cs="宋体"/>
                <w:sz w:val="21"/>
                <w:szCs w:val="21"/>
                <w:highlight w:val="none"/>
              </w:rPr>
              <w:t>平方左右，主要为销售、采购</w:t>
            </w:r>
            <w:r>
              <w:rPr>
                <w:rFonts w:hint="eastAsia" w:ascii="宋体" w:hAnsi="宋体" w:cs="宋体"/>
                <w:sz w:val="21"/>
                <w:szCs w:val="21"/>
              </w:rPr>
              <w:t>和办公室使用。</w:t>
            </w:r>
            <w:r>
              <w:rPr>
                <w:rFonts w:hint="eastAsia" w:ascii="宋体" w:hAnsi="宋体" w:cs="宋体"/>
                <w:sz w:val="21"/>
                <w:szCs w:val="21"/>
                <w:highlight w:val="none"/>
              </w:rPr>
              <w:t>主要生产设备包括</w:t>
            </w:r>
            <w:r>
              <w:rPr>
                <w:rFonts w:hint="eastAsia" w:ascii="宋体" w:hAnsi="宋体" w:cs="宋体"/>
                <w:color w:val="000000"/>
                <w:sz w:val="21"/>
                <w:szCs w:val="21"/>
                <w:highlight w:val="none"/>
              </w:rPr>
              <w:t>：</w:t>
            </w:r>
            <w:r>
              <w:rPr>
                <w:rFonts w:hint="eastAsia" w:ascii="宋体" w:hAnsi="宋体" w:cs="宋体"/>
                <w:sz w:val="21"/>
                <w:szCs w:val="21"/>
              </w:rPr>
              <w:t>电脑、传真机、打印机、办公桌等</w:t>
            </w:r>
            <w:r>
              <w:rPr>
                <w:rFonts w:hint="eastAsia" w:ascii="宋体" w:hAnsi="宋体" w:cs="宋体"/>
                <w:color w:val="000000"/>
                <w:sz w:val="21"/>
                <w:szCs w:val="21"/>
                <w:highlight w:val="none"/>
              </w:rPr>
              <w:t>，</w:t>
            </w:r>
            <w:r>
              <w:rPr>
                <w:rFonts w:hint="eastAsia" w:ascii="宋体" w:hAnsi="宋体" w:cs="宋体"/>
                <w:sz w:val="21"/>
                <w:szCs w:val="21"/>
              </w:rPr>
              <w:t>可以满足销售、采购和办公的需要</w:t>
            </w:r>
            <w:r>
              <w:rPr>
                <w:rFonts w:hint="eastAsia" w:ascii="宋体" w:hAnsi="宋体" w:cs="宋体"/>
                <w:sz w:val="21"/>
                <w:szCs w:val="21"/>
                <w:highlight w:val="none"/>
              </w:rPr>
              <w:t>。</w:t>
            </w:r>
            <w:r>
              <w:rPr>
                <w:rFonts w:hint="eastAsia" w:ascii="宋体" w:hAnsi="宋体" w:cs="宋体"/>
                <w:sz w:val="21"/>
                <w:szCs w:val="21"/>
              </w:rPr>
              <w:t>办公设施采取定期日常维护的方式进行，出现异常情况由厂家维修。现场查看设备、设施完好。</w:t>
            </w:r>
            <w:r>
              <w:rPr>
                <w:rFonts w:hint="eastAsia" w:ascii="宋体" w:hAnsi="宋体" w:cs="宋体"/>
                <w:color w:val="000000"/>
                <w:sz w:val="21"/>
                <w:szCs w:val="21"/>
                <w:highlight w:val="none"/>
              </w:rPr>
              <w:t>特种设备：</w:t>
            </w:r>
            <w:r>
              <w:rPr>
                <w:rFonts w:hint="eastAsia" w:ascii="宋体" w:hAnsi="宋体"/>
                <w:sz w:val="21"/>
                <w:szCs w:val="21"/>
                <w:highlight w:val="none"/>
              </w:rPr>
              <w:t>无</w:t>
            </w:r>
            <w:r>
              <w:rPr>
                <w:rFonts w:hint="eastAsia" w:ascii="宋体" w:hAnsi="宋体" w:cs="宋体"/>
                <w:color w:val="000000"/>
                <w:sz w:val="21"/>
                <w:szCs w:val="21"/>
                <w:highlight w:val="none"/>
              </w:rPr>
              <w:t>。</w:t>
            </w:r>
            <w:r>
              <w:rPr>
                <w:rFonts w:hint="eastAsia" w:ascii="宋体" w:hAnsi="宋体" w:cs="宋体"/>
                <w:color w:val="000000"/>
                <w:sz w:val="21"/>
                <w:szCs w:val="21"/>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ind w:firstLine="210" w:firstLineChars="100"/>
              <w:rPr>
                <w:rFonts w:ascii="宋体" w:hAnsi="宋体"/>
                <w:b/>
                <w:sz w:val="21"/>
                <w:szCs w:val="21"/>
              </w:rPr>
            </w:pPr>
            <w:r>
              <w:rPr>
                <w:rFonts w:hint="eastAsia" w:ascii="宋体" w:hAnsi="宋体"/>
                <w:sz w:val="21"/>
                <w:szCs w:val="21"/>
                <w:lang w:val="en-US" w:eastAsia="zh-CN"/>
              </w:rPr>
              <w:t>办公区域</w:t>
            </w:r>
            <w:r>
              <w:rPr>
                <w:rFonts w:hint="eastAsia" w:ascii="宋体" w:hAnsi="宋体"/>
                <w:sz w:val="21"/>
                <w:szCs w:val="21"/>
              </w:rPr>
              <w:t>布置合理，照明设施齐全，均配备了</w:t>
            </w:r>
            <w:r>
              <w:rPr>
                <w:rFonts w:hint="eastAsia" w:ascii="宋体" w:hAnsi="宋体"/>
                <w:sz w:val="21"/>
                <w:szCs w:val="21"/>
                <w:lang w:val="en-US" w:eastAsia="zh-CN"/>
              </w:rPr>
              <w:t>灭火器</w:t>
            </w:r>
            <w:r>
              <w:rPr>
                <w:rFonts w:hint="eastAsia" w:ascii="宋体" w:hAnsi="宋体"/>
                <w:sz w:val="21"/>
                <w:szCs w:val="21"/>
              </w:rPr>
              <w:t>、消防</w:t>
            </w:r>
            <w:r>
              <w:rPr>
                <w:rFonts w:hint="eastAsia" w:ascii="宋体" w:hAnsi="宋体"/>
                <w:sz w:val="21"/>
                <w:szCs w:val="21"/>
                <w:lang w:val="en-US" w:eastAsia="zh-CN"/>
              </w:rPr>
              <w:t>栓</w:t>
            </w:r>
            <w:r>
              <w:rPr>
                <w:rFonts w:hint="eastAsia" w:ascii="宋体" w:hAnsi="宋体"/>
                <w:sz w:val="21"/>
                <w:szCs w:val="21"/>
              </w:rPr>
              <w:t>等设施。</w:t>
            </w:r>
            <w:r>
              <w:rPr>
                <w:rFonts w:hint="eastAsia" w:ascii="宋体" w:hAnsi="宋体"/>
                <w:sz w:val="21"/>
                <w:szCs w:val="21"/>
                <w:lang w:val="en-US" w:eastAsia="zh-CN"/>
              </w:rPr>
              <w:t>目前公司主要向客户提供</w:t>
            </w:r>
            <w:r>
              <w:rPr>
                <w:sz w:val="20"/>
              </w:rPr>
              <w:t>流体控制设备、仪器仪表、阀门及配件</w:t>
            </w:r>
            <w:r>
              <w:rPr>
                <w:rFonts w:hint="eastAsia" w:ascii="宋体" w:hAnsi="宋体"/>
                <w:sz w:val="21"/>
                <w:szCs w:val="21"/>
                <w:lang w:val="en-US" w:eastAsia="zh-CN"/>
              </w:rPr>
              <w:t>等</w:t>
            </w:r>
            <w:r>
              <w:rPr>
                <w:rFonts w:hint="eastAsia" w:ascii="宋体" w:hAnsi="宋体"/>
                <w:sz w:val="21"/>
                <w:szCs w:val="21"/>
              </w:rPr>
              <w:t>对环境要求不高，目前工作环境符合生产需要。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监视和测量资源</w:t>
            </w:r>
          </w:p>
          <w:p>
            <w:pPr>
              <w:spacing w:line="240" w:lineRule="exact"/>
              <w:ind w:firstLine="210" w:firstLineChars="100"/>
              <w:rPr>
                <w:rFonts w:hint="default" w:ascii="宋体" w:hAnsi="宋体"/>
                <w:b/>
                <w:sz w:val="21"/>
                <w:szCs w:val="21"/>
                <w:lang w:val="en-US"/>
              </w:rPr>
            </w:pPr>
            <w:r>
              <w:rPr>
                <w:rFonts w:hint="eastAsia" w:ascii="宋体" w:hAnsi="宋体" w:cs="宋体"/>
                <w:sz w:val="21"/>
                <w:szCs w:val="21"/>
              </w:rPr>
              <w:t>公司主要对产品规格、型号和检验报告或合格证进行验证，暂未配置检测设备。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400" w:lineRule="exact"/>
              <w:ind w:firstLine="315" w:firstLineChars="150"/>
              <w:rPr>
                <w:rFonts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sz w:val="21"/>
                <w:szCs w:val="21"/>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环保设施：</w:t>
            </w: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职业健康安全设施：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firstLine="420" w:firstLineChars="200"/>
              <w:rPr>
                <w:rFonts w:hint="eastAsia" w:ascii="宋体" w:hAnsi="宋体"/>
                <w:b/>
                <w:sz w:val="21"/>
                <w:szCs w:val="21"/>
              </w:rPr>
            </w:pP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hAnsi="宋体"/>
                <w:b/>
                <w:sz w:val="21"/>
                <w:szCs w:val="21"/>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r>
              <w:rPr>
                <w:rFonts w:ascii="楷体_GB2312" w:eastAsia="楷体_GB2312"/>
                <w:b/>
                <w:szCs w:val="21"/>
              </w:rPr>
              <w:t xml:space="preserve">                </w:t>
            </w:r>
          </w:p>
          <w:p>
            <w:pPr>
              <w:spacing w:line="240" w:lineRule="exact"/>
              <w:rPr>
                <w:rFonts w:ascii="楷体_GB2312" w:eastAsia="楷体_GB2312"/>
                <w:b/>
                <w:szCs w:val="21"/>
              </w:rPr>
            </w:pPr>
            <w:r>
              <w:rPr>
                <w:rFonts w:hint="eastAsia" w:ascii="楷体_GB2312" w:eastAsia="楷体_GB2312"/>
                <w:b/>
                <w:szCs w:val="21"/>
              </w:rPr>
              <w:t>内部沟通的效果：</w:t>
            </w:r>
            <w:r>
              <w:rPr>
                <w:rFonts w:hint="eastAsia" w:ascii="宋体" w:hAnsi="宋体" w:cs="宋体"/>
                <w:color w:val="000000"/>
                <w:sz w:val="21"/>
                <w:szCs w:val="21"/>
              </w:rPr>
              <w:t>良好</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组织对外联络，关注顾客的感受情况（</w:t>
            </w:r>
            <w:r>
              <w:rPr>
                <w:rFonts w:ascii="楷体_GB2312" w:eastAsia="楷体_GB2312"/>
                <w:b/>
                <w:szCs w:val="21"/>
              </w:rPr>
              <w:t>QMS</w:t>
            </w:r>
            <w:r>
              <w:rPr>
                <w:rFonts w:hint="eastAsia" w:ascii="楷体_GB2312" w:eastAsia="楷体_GB2312"/>
                <w:b/>
                <w:szCs w:val="21"/>
              </w:rPr>
              <w:t>）：</w:t>
            </w:r>
            <w:r>
              <w:rPr>
                <w:rFonts w:hint="eastAsia" w:ascii="宋体" w:hAnsi="宋体" w:cs="宋体"/>
                <w:color w:val="000000"/>
                <w:sz w:val="21"/>
                <w:szCs w:val="21"/>
              </w:rPr>
              <w:t>采取电话、QQ及不定期回访用户的方式了解相关信息等，对顾客反馈问题进行解答。针对存在的问题及时进行处理。定期发放顾客满意度调查，了解顾客满意或不满意的信息，并积极应对，确保顾客满意</w:t>
            </w:r>
            <w:r>
              <w:rPr>
                <w:rFonts w:hint="eastAsia" w:ascii="楷体_GB2312" w:eastAsia="楷体_GB2312"/>
                <w:b/>
                <w:szCs w:val="21"/>
              </w:rPr>
              <w:t>。</w:t>
            </w:r>
          </w:p>
          <w:p>
            <w:pPr>
              <w:spacing w:line="240" w:lineRule="exact"/>
              <w:rPr>
                <w:rFonts w:ascii="楷体_GB2312" w:eastAsia="楷体_GB2312"/>
                <w:b/>
                <w:szCs w:val="21"/>
              </w:rPr>
            </w:pPr>
          </w:p>
          <w:p>
            <w:pPr>
              <w:spacing w:line="240" w:lineRule="exact"/>
              <w:rPr>
                <w:rFonts w:hint="eastAsia" w:ascii="楷体_GB2312" w:eastAsia="宋体"/>
                <w:b/>
                <w:color w:val="000000" w:themeColor="text1"/>
                <w:sz w:val="20"/>
                <w:szCs w:val="20"/>
                <w:lang w:eastAsia="zh-CN"/>
              </w:rPr>
            </w:pPr>
            <w:r>
              <w:rPr>
                <w:rFonts w:hint="eastAsia" w:ascii="楷体_GB2312" w:eastAsia="楷体_GB2312"/>
                <w:b/>
                <w:szCs w:val="21"/>
              </w:rPr>
              <w:t>外部信息的接收、成文并答复的情况（</w:t>
            </w:r>
            <w:r>
              <w:rPr>
                <w:rFonts w:ascii="楷体_GB2312" w:eastAsia="楷体_GB2312"/>
                <w:b/>
                <w:szCs w:val="21"/>
              </w:rPr>
              <w:t>E</w:t>
            </w:r>
            <w:r>
              <w:rPr>
                <w:rFonts w:hint="eastAsia" w:ascii="楷体_GB2312" w:eastAsia="楷体_GB2312"/>
                <w:b/>
                <w:szCs w:val="21"/>
              </w:rPr>
              <w:t>、</w:t>
            </w:r>
            <w:r>
              <w:rPr>
                <w:rFonts w:ascii="楷体_GB2312" w:eastAsia="楷体_GB2312"/>
                <w:b/>
                <w:szCs w:val="21"/>
              </w:rPr>
              <w:t>S</w:t>
            </w:r>
            <w:r>
              <w:rPr>
                <w:rFonts w:hint="eastAsia" w:ascii="楷体_GB2312" w:eastAsia="楷体_GB2312"/>
                <w:b/>
                <w:szCs w:val="21"/>
              </w:rPr>
              <w:t>填写）：</w:t>
            </w:r>
            <w:r>
              <w:rPr>
                <w:rFonts w:hint="eastAsia" w:ascii="宋体" w:hAnsi="宋体" w:cs="宋体"/>
                <w:color w:val="000000"/>
                <w:sz w:val="21"/>
                <w:szCs w:val="21"/>
              </w:rPr>
              <w:t>对会议通知和规定等登记处理</w:t>
            </w:r>
            <w:r>
              <w:rPr>
                <w:rFonts w:hint="eastAsia" w:ascii="宋体" w:hAnsi="宋体" w:cs="宋体"/>
                <w:color w:val="000000"/>
                <w:sz w:val="21"/>
                <w:szCs w:val="21"/>
                <w:lang w:eastAsia="zh-CN"/>
              </w:rPr>
              <w:t>。</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hint="eastAsia" w:ascii="宋体" w:hAnsi="宋体" w:cs="宋体"/>
                <w:color w:val="000000"/>
                <w:sz w:val="21"/>
                <w:szCs w:val="21"/>
                <w:lang w:eastAsia="zh-CN"/>
              </w:rPr>
            </w:pPr>
            <w:r>
              <w:rPr>
                <w:rFonts w:hint="eastAsia" w:ascii="楷体_GB2312" w:eastAsia="楷体_GB2312"/>
                <w:b/>
                <w:szCs w:val="21"/>
              </w:rPr>
              <w:t>重要环境因素信息对外交流情况（</w:t>
            </w:r>
            <w:r>
              <w:rPr>
                <w:rFonts w:ascii="楷体_GB2312" w:eastAsia="楷体_GB2312"/>
                <w:b/>
                <w:szCs w:val="21"/>
              </w:rPr>
              <w:t>EMS</w:t>
            </w:r>
            <w:r>
              <w:rPr>
                <w:rFonts w:hint="eastAsia" w:ascii="楷体_GB2312" w:eastAsia="楷体_GB2312"/>
                <w:b/>
                <w:szCs w:val="21"/>
              </w:rPr>
              <w:t>填写）：</w:t>
            </w:r>
            <w:r>
              <w:rPr>
                <w:rFonts w:hint="eastAsia" w:ascii="宋体" w:hAnsi="宋体" w:cs="宋体"/>
                <w:color w:val="000000"/>
                <w:sz w:val="21"/>
                <w:szCs w:val="21"/>
              </w:rPr>
              <w:t>主要通过网络、交流及公开信、合同等方式进行，并达成一致性意见实施有效控制</w:t>
            </w:r>
            <w:r>
              <w:rPr>
                <w:rFonts w:hint="eastAsia" w:ascii="宋体" w:hAnsi="宋体" w:cs="宋体"/>
                <w:color w:val="000000"/>
                <w:sz w:val="21"/>
                <w:szCs w:val="21"/>
                <w:lang w:eastAsia="zh-CN"/>
              </w:rPr>
              <w:t>。</w:t>
            </w:r>
          </w:p>
          <w:p>
            <w:pPr>
              <w:spacing w:line="240" w:lineRule="exact"/>
              <w:rPr>
                <w:rFonts w:ascii="楷体_GB2312" w:eastAsia="楷体_GB2312"/>
                <w:b/>
                <w:szCs w:val="21"/>
              </w:rPr>
            </w:pPr>
          </w:p>
          <w:p>
            <w:pPr>
              <w:spacing w:line="240" w:lineRule="exact"/>
              <w:rPr>
                <w:rFonts w:hint="eastAsia" w:ascii="宋体" w:hAnsi="宋体" w:cs="宋体"/>
                <w:color w:val="000000"/>
                <w:sz w:val="21"/>
                <w:szCs w:val="21"/>
                <w:lang w:eastAsia="zh-CN"/>
              </w:rPr>
            </w:pPr>
            <w:r>
              <w:rPr>
                <w:rFonts w:ascii="楷体_GB2312" w:eastAsia="楷体_GB2312"/>
                <w:b/>
                <w:szCs w:val="21"/>
              </w:rPr>
              <w:t>OHSMS</w:t>
            </w:r>
            <w:r>
              <w:rPr>
                <w:rFonts w:hint="eastAsia" w:ascii="楷体_GB2312" w:eastAsia="楷体_GB2312"/>
                <w:b/>
                <w:szCs w:val="21"/>
              </w:rPr>
              <w:t>事务代表协商和交流的情况（</w:t>
            </w:r>
            <w:r>
              <w:rPr>
                <w:rFonts w:ascii="楷体_GB2312" w:eastAsia="楷体_GB2312"/>
                <w:b/>
                <w:szCs w:val="21"/>
              </w:rPr>
              <w:t>OHSMS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highlight w:val="none"/>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在过程质量管理策划方面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ind w:firstLine="420" w:firstLineChars="200"/>
              <w:rPr>
                <w:rFonts w:ascii="宋体" w:hAnsi="宋体"/>
                <w:b/>
                <w:sz w:val="21"/>
                <w:szCs w:val="21"/>
              </w:rPr>
            </w:pPr>
            <w:r>
              <w:rPr>
                <w:rFonts w:hint="eastAsia" w:ascii="宋体" w:hAnsi="宋体" w:cs="宋体"/>
                <w:color w:val="000000"/>
                <w:sz w:val="21"/>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hint="eastAsia" w:ascii="宋体" w:hAnsi="宋体" w:eastAsia="宋体"/>
                <w:b/>
                <w:sz w:val="21"/>
                <w:szCs w:val="21"/>
                <w:lang w:eastAsia="zh-CN"/>
              </w:rPr>
            </w:pPr>
            <w:r>
              <w:rPr>
                <w:rFonts w:ascii="宋体" w:hAnsi="宋体"/>
                <w:b/>
                <w:sz w:val="21"/>
                <w:szCs w:val="21"/>
              </w:rPr>
              <w:t>5 .QMS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r>
              <w:rPr>
                <w:rFonts w:hint="eastAsia" w:ascii="宋体" w:hAnsi="宋体"/>
                <w:b/>
                <w:sz w:val="21"/>
                <w:szCs w:val="21"/>
                <w:lang w:eastAsia="zh-CN"/>
              </w:rPr>
              <w:t>：</w:t>
            </w:r>
          </w:p>
          <w:p>
            <w:pPr>
              <w:spacing w:line="360" w:lineRule="auto"/>
              <w:ind w:firstLine="420" w:firstLineChars="200"/>
              <w:rPr>
                <w:rFonts w:ascii="宋体" w:hAnsi="宋体"/>
                <w:b/>
                <w:sz w:val="21"/>
                <w:szCs w:val="21"/>
              </w:rPr>
            </w:pPr>
            <w:r>
              <w:rPr>
                <w:rFonts w:hint="eastAsia" w:ascii="宋体" w:hAnsi="宋体" w:cs="宋体"/>
                <w:color w:val="000000"/>
                <w:sz w:val="21"/>
                <w:szCs w:val="21"/>
              </w:rPr>
              <w:t>无</w:t>
            </w:r>
          </w:p>
          <w:p>
            <w:pPr>
              <w:spacing w:line="240" w:lineRule="exact"/>
              <w:rPr>
                <w:rFonts w:ascii="宋体" w:hAnsi="宋体"/>
                <w:b/>
                <w:sz w:val="21"/>
                <w:szCs w:val="21"/>
              </w:rPr>
            </w:pPr>
          </w:p>
          <w:p>
            <w:pPr>
              <w:spacing w:line="240" w:lineRule="exact"/>
              <w:rPr>
                <w:rFonts w:ascii="宋体" w:hAnsi="宋体"/>
                <w:b/>
                <w:sz w:val="21"/>
                <w:szCs w:val="21"/>
              </w:rPr>
            </w:pPr>
          </w:p>
          <w:p>
            <w:pPr>
              <w:spacing w:line="300" w:lineRule="exact"/>
              <w:ind w:firstLine="211" w:firstLineChars="100"/>
              <w:rPr>
                <w:rFonts w:ascii="宋体" w:hAnsi="宋体"/>
                <w:b/>
                <w:sz w:val="21"/>
                <w:szCs w:val="21"/>
              </w:rPr>
            </w:pPr>
            <w:r>
              <w:rPr>
                <w:rFonts w:hint="eastAsia" w:ascii="宋体" w:hAnsi="宋体"/>
                <w:b/>
                <w:sz w:val="21"/>
                <w:szCs w:val="21"/>
              </w:rPr>
              <w:t>（附相关证据）：</w:t>
            </w:r>
          </w:p>
          <w:p>
            <w:pPr>
              <w:spacing w:line="300" w:lineRule="exact"/>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ind w:firstLine="210" w:firstLineChars="100"/>
              <w:rPr>
                <w:rFonts w:ascii="宋体" w:hAnsi="宋体"/>
                <w:b/>
                <w:sz w:val="21"/>
                <w:szCs w:val="21"/>
              </w:rPr>
            </w:pPr>
            <w:r>
              <w:rPr>
                <w:rFonts w:hint="eastAsia" w:ascii="宋体" w:hAnsi="宋体" w:cs="宋体"/>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ind w:firstLine="420" w:firstLineChars="200"/>
              <w:rPr>
                <w:rFonts w:ascii="宋体" w:hAnsi="宋体"/>
                <w:b/>
                <w:sz w:val="21"/>
                <w:szCs w:val="21"/>
              </w:rPr>
            </w:pPr>
            <w:r>
              <w:rPr>
                <w:rFonts w:hint="eastAsia" w:asciiTheme="minorEastAsia" w:hAnsiTheme="minorEastAsia" w:eastAsiaTheme="minorEastAsia"/>
                <w:bCs/>
                <w:iCs/>
                <w:sz w:val="21"/>
                <w:szCs w:val="21"/>
              </w:rPr>
              <w:t>组织重要环境因素</w:t>
            </w:r>
            <w:r>
              <w:rPr>
                <w:rFonts w:hint="eastAsia" w:asciiTheme="minorEastAsia" w:hAnsiTheme="minorEastAsia" w:eastAsiaTheme="minorEastAsia"/>
                <w:bCs/>
                <w:iCs/>
                <w:sz w:val="21"/>
                <w:szCs w:val="21"/>
                <w:highlight w:val="none"/>
              </w:rPr>
              <w:t>为</w:t>
            </w:r>
            <w:r>
              <w:rPr>
                <w:rFonts w:hint="eastAsia" w:ascii="宋体" w:hAnsi="宋体"/>
                <w:sz w:val="21"/>
                <w:szCs w:val="21"/>
                <w:highlight w:val="none"/>
              </w:rPr>
              <w:t>潜在火灾、固废排放</w:t>
            </w:r>
            <w:r>
              <w:rPr>
                <w:rFonts w:hint="eastAsia" w:asciiTheme="minorEastAsia" w:hAnsiTheme="minorEastAsia" w:eastAsiaTheme="minorEastAsia"/>
                <w:bCs/>
                <w:iCs/>
                <w:sz w:val="21"/>
                <w:szCs w:val="21"/>
                <w:highlight w:val="none"/>
              </w:rPr>
              <w:t>，需要</w:t>
            </w:r>
            <w:r>
              <w:rPr>
                <w:rFonts w:hint="eastAsia" w:asciiTheme="minorEastAsia" w:hAnsiTheme="minorEastAsia" w:eastAsiaTheme="minorEastAsia"/>
                <w:bCs/>
                <w:iCs/>
                <w:sz w:val="21"/>
                <w:szCs w:val="21"/>
              </w:rPr>
              <w:t>应对的风险和机遇相关的过程为销售、办公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0"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3"/>
              </w:numPr>
              <w:spacing w:line="240" w:lineRule="exact"/>
              <w:rPr>
                <w:rFonts w:hint="eastAsia" w:ascii="宋体" w:hAnsi="宋体"/>
                <w:b/>
                <w:sz w:val="21"/>
                <w:szCs w:val="21"/>
              </w:rPr>
            </w:pPr>
            <w:r>
              <w:rPr>
                <w:rFonts w:ascii="宋体" w:hAnsi="宋体"/>
                <w:b/>
                <w:sz w:val="21"/>
                <w:szCs w:val="21"/>
              </w:rPr>
              <w:t>OHSMS</w:t>
            </w:r>
            <w:r>
              <w:rPr>
                <w:rFonts w:hint="eastAsia" w:ascii="宋体" w:hAnsi="宋体"/>
                <w:b/>
                <w:sz w:val="21"/>
                <w:szCs w:val="21"/>
              </w:rPr>
              <w:t>组织对不可接受风险实施控制的结果</w:t>
            </w:r>
          </w:p>
          <w:p>
            <w:pPr>
              <w:numPr>
                <w:ilvl w:val="0"/>
                <w:numId w:val="0"/>
              </w:numPr>
              <w:spacing w:line="240" w:lineRule="exact"/>
              <w:rPr>
                <w:rFonts w:hint="eastAsia"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hint="default" w:ascii="宋体" w:hAnsi="宋体" w:eastAsia="宋体"/>
                <w:b/>
                <w:sz w:val="21"/>
                <w:szCs w:val="21"/>
                <w:lang w:val="en-US" w:eastAsia="zh-CN"/>
              </w:rPr>
            </w:pPr>
            <w:r>
              <w:rPr>
                <w:rFonts w:hint="eastAsia" w:ascii="宋体" w:hAnsi="宋体"/>
                <w:b/>
                <w:sz w:val="21"/>
                <w:szCs w:val="21"/>
                <w:lang w:val="en-US" w:eastAsia="zh-CN"/>
              </w:rPr>
              <w:t xml:space="preserve">  </w:t>
            </w:r>
            <w:r>
              <w:rPr>
                <w:rFonts w:hint="eastAsia" w:asciiTheme="minorEastAsia" w:hAnsiTheme="minorEastAsia" w:eastAsiaTheme="minorEastAsia"/>
                <w:bCs/>
                <w:iCs/>
                <w:sz w:val="21"/>
                <w:szCs w:val="21"/>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ind w:left="240" w:leftChars="100" w:firstLine="105" w:firstLineChars="50"/>
              <w:jc w:val="left"/>
              <w:rPr>
                <w:rFonts w:hint="default"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hint="default" w:ascii="宋体" w:hAnsi="宋体" w:eastAsia="宋体"/>
                <w:b/>
                <w:sz w:val="21"/>
                <w:szCs w:val="21"/>
                <w:lang w:val="en-US" w:eastAsia="zh-CN"/>
              </w:rPr>
            </w:pPr>
            <w:r>
              <w:rPr>
                <w:rFonts w:hint="eastAsia" w:ascii="宋体" w:hAnsi="宋体"/>
                <w:b/>
                <w:sz w:val="21"/>
                <w:szCs w:val="21"/>
                <w:lang w:val="en-US" w:eastAsia="zh-CN"/>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315" w:firstLineChars="150"/>
              <w:rPr>
                <w:rFonts w:ascii="宋体" w:hAnsi="宋体"/>
                <w:b/>
                <w:sz w:val="21"/>
                <w:szCs w:val="21"/>
              </w:rPr>
            </w:pPr>
            <w:r>
              <w:rPr>
                <w:rFonts w:hint="eastAsia" w:ascii="宋体" w:hAnsi="宋体" w:cs="宋体"/>
                <w:color w:val="000000"/>
                <w:sz w:val="21"/>
                <w:szCs w:val="21"/>
                <w:highlight w:val="none"/>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2019年</w:t>
            </w:r>
            <w:r>
              <w:rPr>
                <w:rFonts w:hint="eastAsia" w:ascii="宋体" w:hAnsi="宋体" w:cs="宋体"/>
                <w:color w:val="000000"/>
                <w:sz w:val="21"/>
                <w:szCs w:val="21"/>
                <w:highlight w:val="none"/>
                <w:lang w:eastAsia="zh-CN"/>
              </w:rPr>
              <w:t>度</w:t>
            </w:r>
            <w:r>
              <w:rPr>
                <w:rFonts w:hint="eastAsia" w:ascii="宋体" w:hAnsi="宋体" w:cs="宋体"/>
                <w:color w:val="000000"/>
                <w:sz w:val="21"/>
                <w:szCs w:val="21"/>
                <w:highlight w:val="none"/>
              </w:rPr>
              <w:t>质量目标的测量，总体已达到或超过了规定的目标值。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4"/>
              </w:numPr>
              <w:spacing w:line="240" w:lineRule="exact"/>
              <w:ind w:left="105" w:hanging="105" w:hangingChars="50"/>
              <w:rPr>
                <w:rFonts w:hint="eastAsia" w:ascii="宋体" w:hAnsi="宋体"/>
                <w:b/>
                <w:sz w:val="21"/>
                <w:szCs w:val="21"/>
              </w:rPr>
            </w:pPr>
            <w:r>
              <w:rPr>
                <w:rFonts w:hint="eastAsia" w:ascii="宋体" w:hAnsi="宋体"/>
                <w:b/>
                <w:sz w:val="21"/>
                <w:szCs w:val="21"/>
              </w:rPr>
              <w:t>顾客满意</w:t>
            </w:r>
          </w:p>
          <w:p>
            <w:pPr>
              <w:numPr>
                <w:ilvl w:val="0"/>
                <w:numId w:val="0"/>
              </w:numPr>
              <w:spacing w:line="240" w:lineRule="exact"/>
              <w:ind w:leftChars="-50" w:firstLine="420" w:firstLineChars="200"/>
              <w:rPr>
                <w:rFonts w:hint="eastAsia" w:ascii="宋体" w:hAnsi="宋体"/>
                <w:b/>
                <w:sz w:val="21"/>
                <w:szCs w:val="21"/>
              </w:rPr>
            </w:pPr>
            <w:r>
              <w:rPr>
                <w:rFonts w:hint="eastAsia" w:ascii="宋体" w:hAnsi="宋体" w:cs="宋体"/>
                <w:color w:val="000000"/>
                <w:sz w:val="21"/>
                <w:szCs w:val="21"/>
              </w:rPr>
              <w:t>公司</w:t>
            </w:r>
            <w:r>
              <w:rPr>
                <w:rFonts w:hint="eastAsia" w:ascii="宋体" w:hAnsi="宋体" w:cs="宋体"/>
                <w:color w:val="000000"/>
                <w:sz w:val="21"/>
                <w:szCs w:val="21"/>
                <w:highlight w:val="none"/>
              </w:rPr>
              <w:t>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w:t>
            </w:r>
            <w:r>
              <w:rPr>
                <w:rFonts w:hint="eastAsia" w:ascii="宋体" w:hAnsi="宋体" w:cs="宋体"/>
                <w:sz w:val="21"/>
                <w:szCs w:val="21"/>
                <w:highlight w:val="none"/>
              </w:rPr>
              <w:t>施，2019年</w:t>
            </w:r>
            <w:r>
              <w:rPr>
                <w:rFonts w:hint="eastAsia" w:ascii="宋体" w:hAnsi="宋体" w:cs="宋体"/>
                <w:sz w:val="21"/>
                <w:szCs w:val="21"/>
                <w:highlight w:val="none"/>
                <w:lang w:val="en-US" w:eastAsia="zh-CN"/>
              </w:rPr>
              <w:t>11</w:t>
            </w:r>
            <w:r>
              <w:rPr>
                <w:rFonts w:hint="eastAsia" w:ascii="宋体" w:hAnsi="宋体" w:cs="宋体"/>
                <w:sz w:val="21"/>
                <w:szCs w:val="21"/>
                <w:highlight w:val="none"/>
              </w:rPr>
              <w:t>月实施，满意度评价</w:t>
            </w:r>
            <w:r>
              <w:rPr>
                <w:rFonts w:hint="eastAsia" w:ascii="宋体" w:hAnsi="宋体" w:cs="宋体"/>
                <w:sz w:val="21"/>
                <w:szCs w:val="21"/>
                <w:highlight w:val="none"/>
                <w:lang w:val="en-US" w:eastAsia="zh-CN"/>
              </w:rPr>
              <w:t>98分</w:t>
            </w:r>
            <w:r>
              <w:rPr>
                <w:rFonts w:hint="eastAsia" w:ascii="宋体" w:hAnsi="宋体" w:cs="宋体"/>
                <w:sz w:val="21"/>
                <w:szCs w:val="21"/>
                <w:highlight w:val="none"/>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240" w:lineRule="exact"/>
              <w:ind w:firstLine="210" w:firstLineChars="100"/>
              <w:rPr>
                <w:rFonts w:ascii="宋体" w:hAnsi="宋体"/>
                <w:b/>
                <w:sz w:val="21"/>
                <w:szCs w:val="21"/>
                <w:highlight w:val="none"/>
              </w:rPr>
            </w:pPr>
            <w:r>
              <w:rPr>
                <w:rFonts w:hint="eastAsia" w:ascii="宋体" w:hAnsi="宋体" w:cs="宋体"/>
                <w:sz w:val="21"/>
                <w:szCs w:val="21"/>
                <w:highlight w:val="none"/>
              </w:rPr>
              <w:t>建立有《内部审核控制程序》，规定了内审频次一年一次，内审时间：2019年</w:t>
            </w:r>
            <w:r>
              <w:rPr>
                <w:rFonts w:hint="eastAsia" w:ascii="宋体" w:hAnsi="宋体" w:cs="宋体"/>
                <w:sz w:val="21"/>
                <w:szCs w:val="21"/>
                <w:highlight w:val="none"/>
                <w:lang w:val="en-US" w:eastAsia="zh-CN"/>
              </w:rPr>
              <w:t>12</w:t>
            </w:r>
            <w:r>
              <w:rPr>
                <w:rFonts w:hint="eastAsia" w:ascii="宋体" w:hAnsi="宋体" w:cs="宋体"/>
                <w:sz w:val="21"/>
                <w:szCs w:val="21"/>
                <w:highlight w:val="none"/>
              </w:rPr>
              <w:t>月</w:t>
            </w:r>
            <w:r>
              <w:rPr>
                <w:rFonts w:hint="eastAsia" w:ascii="宋体" w:hAnsi="宋体" w:cs="宋体"/>
                <w:sz w:val="21"/>
                <w:szCs w:val="21"/>
                <w:highlight w:val="none"/>
                <w:lang w:val="en-US" w:eastAsia="zh-CN"/>
              </w:rPr>
              <w:t>1</w:t>
            </w:r>
            <w:r>
              <w:rPr>
                <w:rFonts w:hint="eastAsia" w:ascii="宋体" w:hAnsi="宋体" w:cs="宋体"/>
                <w:sz w:val="21"/>
                <w:szCs w:val="21"/>
                <w:highlight w:val="none"/>
              </w:rPr>
              <w:t>日，拟定了审核实施表，明确了内审范围，内审人员经培训合格上岗，能力满足要求，未出现审核本部门情况，内审不符合项1项，</w:t>
            </w:r>
            <w:r>
              <w:rPr>
                <w:rFonts w:hint="eastAsia" w:ascii="宋体" w:hAnsi="宋体"/>
                <w:sz w:val="21"/>
                <w:szCs w:val="21"/>
                <w:highlight w:val="none"/>
              </w:rPr>
              <w:t>涉及办公室Q</w:t>
            </w:r>
            <w:r>
              <w:rPr>
                <w:rFonts w:hint="eastAsia" w:ascii="宋体" w:hAnsi="宋体"/>
                <w:sz w:val="21"/>
                <w:szCs w:val="21"/>
                <w:highlight w:val="none"/>
                <w:lang w:val="en-US" w:eastAsia="zh-CN"/>
              </w:rPr>
              <w:t>/E4.2</w:t>
            </w:r>
            <w:r>
              <w:rPr>
                <w:rFonts w:hint="eastAsia" w:ascii="宋体" w:hAnsi="宋体"/>
                <w:sz w:val="21"/>
                <w:szCs w:val="21"/>
                <w:highlight w:val="none"/>
              </w:rPr>
              <w:t>条款没有对2019年度相关方需求和期望进行识别</w:t>
            </w:r>
            <w:r>
              <w:rPr>
                <w:rFonts w:hint="eastAsia" w:ascii="宋体" w:hAnsi="宋体" w:cs="宋体"/>
                <w:sz w:val="21"/>
                <w:szCs w:val="21"/>
                <w:highlight w:val="none"/>
              </w:rPr>
              <w:t>，针对该不符合项，已及时采取纠正措施后，经内审员验证关闭。内审的有效性需要改善。</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ind w:firstLine="210" w:firstLineChars="100"/>
              <w:rPr>
                <w:rFonts w:ascii="宋体" w:hAnsi="宋体"/>
                <w:b/>
                <w:sz w:val="21"/>
                <w:szCs w:val="21"/>
              </w:rPr>
            </w:pPr>
            <w:r>
              <w:rPr>
                <w:rFonts w:hint="eastAsia" w:ascii="宋体" w:hAnsi="宋体" w:cs="宋体"/>
                <w:sz w:val="21"/>
                <w:szCs w:val="21"/>
                <w:highlight w:val="none"/>
              </w:rPr>
              <w:t>管理评审频次为一年一次、本次管理评审于2019年</w:t>
            </w:r>
            <w:r>
              <w:rPr>
                <w:rFonts w:hint="eastAsia" w:ascii="宋体" w:hAnsi="宋体" w:cs="宋体"/>
                <w:sz w:val="21"/>
                <w:szCs w:val="21"/>
                <w:highlight w:val="none"/>
                <w:lang w:val="en-US" w:eastAsia="zh-CN"/>
              </w:rPr>
              <w:t>12</w:t>
            </w:r>
            <w:r>
              <w:rPr>
                <w:rFonts w:hint="eastAsia" w:ascii="宋体" w:hAnsi="宋体" w:cs="宋体"/>
                <w:sz w:val="21"/>
                <w:szCs w:val="21"/>
                <w:highlight w:val="none"/>
              </w:rPr>
              <w:t>月</w:t>
            </w:r>
            <w:r>
              <w:rPr>
                <w:rFonts w:hint="eastAsia" w:ascii="宋体" w:hAnsi="宋体" w:cs="宋体"/>
                <w:sz w:val="21"/>
                <w:szCs w:val="21"/>
                <w:highlight w:val="none"/>
                <w:lang w:val="en-US" w:eastAsia="zh-CN"/>
              </w:rPr>
              <w:t>7</w:t>
            </w:r>
            <w:r>
              <w:rPr>
                <w:rFonts w:hint="eastAsia" w:ascii="宋体" w:hAnsi="宋体" w:cs="宋体"/>
                <w:sz w:val="21"/>
                <w:szCs w:val="21"/>
                <w:highlight w:val="none"/>
              </w:rPr>
              <w:t>日由总经理主持完成、提供主要输入材料有各部门总结，输入信息基本充分和满足要求。输出见“管理评审报告”,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720" w:type="dxa"/>
            <w:vMerge w:val="continue"/>
            <w:vAlign w:val="center"/>
          </w:tcPr>
          <w:p>
            <w:pPr>
              <w:spacing w:line="240" w:lineRule="exact"/>
              <w:jc w:val="center"/>
              <w:rPr>
                <w:b/>
                <w:sz w:val="20"/>
              </w:rPr>
            </w:pPr>
          </w:p>
        </w:tc>
        <w:tc>
          <w:tcPr>
            <w:tcW w:w="9198" w:type="dxa"/>
          </w:tcPr>
          <w:p>
            <w:pPr>
              <w:numPr>
                <w:ilvl w:val="0"/>
                <w:numId w:val="5"/>
              </w:numPr>
              <w:spacing w:line="240" w:lineRule="exact"/>
              <w:ind w:left="0" w:leftChars="0" w:firstLine="0" w:firstLineChars="0"/>
              <w:rPr>
                <w:rFonts w:hint="eastAsia" w:ascii="宋体" w:hAnsi="宋体"/>
                <w:b/>
                <w:sz w:val="21"/>
                <w:szCs w:val="21"/>
              </w:rPr>
            </w:pP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numPr>
                <w:ilvl w:val="0"/>
                <w:numId w:val="0"/>
              </w:numPr>
              <w:spacing w:line="240" w:lineRule="exact"/>
              <w:ind w:leftChars="0"/>
              <w:rPr>
                <w:rFonts w:hint="default" w:ascii="宋体" w:hAnsi="宋体" w:eastAsia="宋体"/>
                <w:b/>
                <w:sz w:val="21"/>
                <w:szCs w:val="21"/>
                <w:lang w:val="en-US" w:eastAsia="zh-CN"/>
              </w:rPr>
            </w:pPr>
            <w:r>
              <w:rPr>
                <w:rFonts w:hint="eastAsia" w:ascii="宋体" w:hAnsi="宋体"/>
                <w:b/>
                <w:sz w:val="21"/>
                <w:szCs w:val="21"/>
                <w:lang w:val="en-US" w:eastAsia="zh-CN"/>
              </w:rPr>
              <w:t xml:space="preserve">  不适应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ind w:firstLine="211" w:firstLineChars="100"/>
              <w:rPr>
                <w:rFonts w:ascii="宋体" w:hAnsi="宋体"/>
                <w:b/>
                <w:sz w:val="21"/>
                <w:szCs w:val="21"/>
              </w:rPr>
            </w:pPr>
            <w:r>
              <w:rPr>
                <w:rFonts w:hint="eastAsia" w:ascii="宋体" w:hAnsi="宋体"/>
                <w:b/>
                <w:sz w:val="21"/>
                <w:szCs w:val="21"/>
                <w:lang w:val="en-US" w:eastAsia="zh-CN"/>
              </w:rPr>
              <w:t>不适应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240" w:lineRule="exact"/>
              <w:rPr>
                <w:rFonts w:hint="eastAsia" w:ascii="宋体" w:hAnsi="宋体"/>
                <w:b/>
                <w:sz w:val="21"/>
                <w:szCs w:val="21"/>
                <w:lang w:val="en-US" w:eastAsia="zh-CN"/>
              </w:rPr>
            </w:pPr>
          </w:p>
          <w:p>
            <w:pPr>
              <w:spacing w:line="240" w:lineRule="exact"/>
              <w:ind w:firstLine="211" w:firstLineChars="10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hint="eastAsia" w:ascii="宋体" w:hAnsi="宋体" w:eastAsia="宋体"/>
                <w:b/>
                <w:sz w:val="21"/>
                <w:szCs w:val="21"/>
                <w:lang w:val="en-US" w:eastAsia="zh-CN"/>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400" w:lineRule="exact"/>
              <w:ind w:firstLine="420" w:firstLineChars="200"/>
              <w:rPr>
                <w:rFonts w:hint="eastAsia" w:ascii="宋体" w:hAnsi="宋体" w:eastAsia="宋体" w:cs="宋体"/>
                <w:sz w:val="21"/>
                <w:szCs w:val="21"/>
              </w:rPr>
            </w:pPr>
            <w:r>
              <w:rPr>
                <w:rFonts w:hint="eastAsia" w:ascii="宋体" w:hAnsi="宋体" w:eastAsia="宋体" w:cs="宋体"/>
                <w:color w:val="000000" w:themeColor="text1"/>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eastAsia="宋体" w:cs="宋体"/>
                <w:sz w:val="21"/>
                <w:szCs w:val="21"/>
              </w:rPr>
              <w:t>纠正措施的有效性需要改善。</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9" w:hRule="atLeast"/>
          <w:jc w:val="center"/>
        </w:trPr>
        <w:tc>
          <w:tcPr>
            <w:tcW w:w="720" w:type="dxa"/>
            <w:vMerge w:val="continue"/>
            <w:vAlign w:val="center"/>
          </w:tcPr>
          <w:p>
            <w:pPr>
              <w:spacing w:line="240" w:lineRule="exact"/>
              <w:jc w:val="center"/>
              <w:rPr>
                <w:b/>
                <w:sz w:val="20"/>
              </w:rPr>
            </w:pPr>
          </w:p>
        </w:tc>
        <w:tc>
          <w:tcPr>
            <w:tcW w:w="9198" w:type="dxa"/>
          </w:tcPr>
          <w:p>
            <w:pPr>
              <w:numPr>
                <w:ilvl w:val="0"/>
                <w:numId w:val="4"/>
              </w:numPr>
              <w:spacing w:line="240" w:lineRule="exact"/>
              <w:ind w:left="105" w:leftChars="0" w:hanging="105" w:hangingChars="50"/>
              <w:rPr>
                <w:rFonts w:hint="eastAsia" w:ascii="宋体" w:hAnsi="宋体"/>
                <w:b/>
                <w:sz w:val="21"/>
                <w:szCs w:val="21"/>
              </w:rPr>
            </w:pP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numPr>
                <w:ilvl w:val="0"/>
                <w:numId w:val="0"/>
              </w:numPr>
              <w:spacing w:line="240" w:lineRule="exact"/>
              <w:ind w:leftChars="-50" w:firstLine="422" w:firstLineChars="200"/>
              <w:rPr>
                <w:rFonts w:hint="eastAsia" w:ascii="宋体" w:hAnsi="宋体" w:eastAsia="宋体"/>
                <w:b/>
                <w:sz w:val="21"/>
                <w:szCs w:val="21"/>
                <w:lang w:val="en-US" w:eastAsia="zh-CN"/>
              </w:rPr>
            </w:pPr>
            <w:r>
              <w:rPr>
                <w:rFonts w:hint="eastAsia" w:ascii="宋体" w:hAnsi="宋体"/>
                <w:b/>
                <w:sz w:val="21"/>
                <w:szCs w:val="21"/>
                <w:lang w:val="en-US" w:eastAsia="zh-CN"/>
              </w:rPr>
              <w:t>无</w:t>
            </w:r>
          </w:p>
          <w:p>
            <w:pPr>
              <w:spacing w:line="240" w:lineRule="exact"/>
              <w:rPr>
                <w:rFonts w:ascii="宋体" w:hAnsi="宋体"/>
                <w:b/>
                <w:sz w:val="21"/>
                <w:szCs w:val="21"/>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numPr>
                <w:ilvl w:val="0"/>
                <w:numId w:val="4"/>
              </w:numPr>
              <w:spacing w:line="240" w:lineRule="exact"/>
              <w:ind w:left="105" w:leftChars="0" w:hanging="105" w:hangingChars="50"/>
              <w:rPr>
                <w:rFonts w:hint="eastAsia" w:ascii="宋体" w:hAnsi="宋体"/>
                <w:b/>
                <w:sz w:val="21"/>
                <w:szCs w:val="21"/>
              </w:rPr>
            </w:pPr>
            <w:r>
              <w:rPr>
                <w:rFonts w:hint="eastAsia" w:ascii="宋体" w:hAnsi="宋体"/>
                <w:b/>
                <w:sz w:val="21"/>
                <w:szCs w:val="21"/>
              </w:rPr>
              <w:t>创新情况</w:t>
            </w:r>
          </w:p>
          <w:p>
            <w:pPr>
              <w:numPr>
                <w:ilvl w:val="0"/>
                <w:numId w:val="0"/>
              </w:numPr>
              <w:spacing w:line="240" w:lineRule="exact"/>
              <w:ind w:leftChars="-50" w:firstLine="531" w:firstLineChars="252"/>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720" w:type="dxa"/>
            <w:vMerge w:val="continue"/>
            <w:vAlign w:val="center"/>
          </w:tcPr>
          <w:p>
            <w:pPr>
              <w:spacing w:line="240" w:lineRule="exact"/>
              <w:jc w:val="center"/>
              <w:rPr>
                <w:b/>
                <w:sz w:val="20"/>
              </w:rPr>
            </w:pPr>
          </w:p>
        </w:tc>
        <w:tc>
          <w:tcPr>
            <w:tcW w:w="9198" w:type="dxa"/>
          </w:tcPr>
          <w:p>
            <w:pPr>
              <w:numPr>
                <w:ilvl w:val="0"/>
                <w:numId w:val="4"/>
              </w:numPr>
              <w:spacing w:line="240" w:lineRule="exact"/>
              <w:ind w:left="105" w:leftChars="0" w:hanging="105" w:hangingChars="50"/>
              <w:rPr>
                <w:rFonts w:hint="eastAsia" w:ascii="宋体" w:hAnsi="宋体"/>
                <w:b/>
                <w:sz w:val="21"/>
                <w:szCs w:val="21"/>
              </w:rPr>
            </w:pPr>
            <w:r>
              <w:rPr>
                <w:rFonts w:hint="eastAsia" w:ascii="宋体" w:hAnsi="宋体"/>
                <w:b/>
                <w:sz w:val="21"/>
                <w:szCs w:val="21"/>
              </w:rPr>
              <w:t>上次不符合的整改情况</w:t>
            </w:r>
          </w:p>
          <w:p>
            <w:pPr>
              <w:numPr>
                <w:ilvl w:val="0"/>
                <w:numId w:val="0"/>
              </w:numPr>
              <w:spacing w:line="240" w:lineRule="exact"/>
              <w:ind w:leftChars="-50" w:firstLine="420" w:firstLineChars="200"/>
              <w:rPr>
                <w:rFonts w:hint="eastAsia" w:ascii="宋体" w:hAnsi="宋体"/>
                <w:b/>
                <w:sz w:val="21"/>
                <w:szCs w:val="21"/>
              </w:rPr>
            </w:pPr>
            <w:r>
              <w:rPr>
                <w:rFonts w:hint="eastAsia" w:ascii="宋体" w:hAnsi="宋体" w:eastAsia="宋体" w:cs="宋体"/>
                <w:color w:val="auto"/>
                <w:sz w:val="21"/>
                <w:szCs w:val="21"/>
                <w:highlight w:val="none"/>
              </w:rPr>
              <w:t>上次不符合为</w:t>
            </w:r>
            <w:r>
              <w:rPr>
                <w:rFonts w:hint="eastAsia" w:ascii="宋体" w:hAnsi="宋体" w:eastAsia="宋体" w:cs="宋体"/>
                <w:color w:val="auto"/>
                <w:sz w:val="21"/>
                <w:szCs w:val="21"/>
                <w:highlight w:val="none"/>
                <w:lang w:val="en-US" w:eastAsia="zh-CN"/>
              </w:rPr>
              <w:t>E</w:t>
            </w:r>
            <w:r>
              <w:rPr>
                <w:rFonts w:hint="eastAsia" w:ascii="宋体" w:hAnsi="宋体" w:cs="宋体"/>
                <w:color w:val="auto"/>
                <w:sz w:val="21"/>
                <w:szCs w:val="21"/>
                <w:highlight w:val="none"/>
                <w:lang w:val="en-US" w:eastAsia="zh-CN"/>
              </w:rPr>
              <w:t>8.2条款</w:t>
            </w:r>
            <w:r>
              <w:rPr>
                <w:rFonts w:hint="eastAsia" w:ascii="宋体" w:hAnsi="宋体" w:eastAsia="宋体" w:cs="宋体"/>
                <w:color w:val="auto"/>
                <w:sz w:val="21"/>
                <w:szCs w:val="21"/>
                <w:highlight w:val="none"/>
              </w:rPr>
              <w:t>，经本次审核验证均整改且无类似不符合情况出现。</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hint="eastAsia" w:ascii="宋体" w:eastAsia="宋体"/>
          <w:b/>
          <w:szCs w:val="21"/>
          <w:lang w:val="en-US" w:eastAsia="zh-CN"/>
        </w:rPr>
      </w:pPr>
      <w:r>
        <w:rPr>
          <w:rFonts w:hint="eastAsia"/>
          <w:b/>
          <w:spacing w:val="-10"/>
          <w:szCs w:val="21"/>
          <w:lang w:eastAsia="zh-CN"/>
        </w:rPr>
        <w:t>■</w:t>
      </w:r>
      <w:r>
        <w:rPr>
          <w:rFonts w:hint="eastAsia" w:ascii="宋体" w:hAnsi="宋体"/>
          <w:b/>
          <w:szCs w:val="21"/>
        </w:rPr>
        <w:t>可能影响本次审核结论可靠性的因素：</w:t>
      </w:r>
      <w:r>
        <w:rPr>
          <w:rFonts w:hint="eastAsia" w:ascii="宋体" w:hAnsi="宋体"/>
          <w:b/>
          <w:szCs w:val="21"/>
          <w:lang w:val="en-US" w:eastAsia="zh-CN"/>
        </w:rPr>
        <w:t>无</w:t>
      </w:r>
    </w:p>
    <w:tbl>
      <w:tblPr>
        <w:tblStyle w:val="7"/>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napToGrid w:val="0"/>
        <w:spacing w:line="360" w:lineRule="auto"/>
        <w:rPr>
          <w:rFonts w:ascii="宋体" w:hAnsi="宋体"/>
          <w:b/>
          <w:color w:val="auto"/>
          <w:szCs w:val="21"/>
          <w:highlight w:val="none"/>
        </w:rPr>
      </w:pPr>
      <w:bookmarkStart w:id="30" w:name="_GoBack"/>
      <w:bookmarkEnd w:id="30"/>
      <w:r>
        <w:rPr>
          <w:rFonts w:hint="eastAsia" w:ascii="宋体" w:hAnsi="宋体"/>
          <w:b/>
          <w:color w:val="auto"/>
          <w:szCs w:val="21"/>
          <w:highlight w:val="none"/>
        </w:rPr>
        <w:t>本</w:t>
      </w:r>
      <w:r>
        <w:rPr>
          <w:rFonts w:hint="eastAsia"/>
          <w:b/>
          <w:color w:val="auto"/>
          <w:sz w:val="26"/>
          <w:szCs w:val="26"/>
          <w:highlight w:val="none"/>
        </w:rPr>
        <w:t>次审核共开具不符合项报告1项；其中</w:t>
      </w:r>
      <w:r>
        <w:rPr>
          <w:b/>
          <w:color w:val="auto"/>
          <w:sz w:val="26"/>
          <w:szCs w:val="26"/>
          <w:highlight w:val="none"/>
        </w:rPr>
        <w:pict>
          <v:line id="直接连接符 1" o:spid="_x0000_s2054" o:spt="20" style="position:absolute;left:0pt;margin-left:210pt;margin-top:16.2pt;height:0pt;width:0.05pt;z-index:8192;mso-width-relative:page;mso-height-relative:page;" coordsize="21600,21600" o:allowincell="f">
            <v:path arrowok="t"/>
            <v:fill focussize="0,0"/>
            <v:stroke/>
            <v:imagedata o:title=""/>
            <o:lock v:ext="edit"/>
          </v:line>
        </w:pict>
      </w:r>
      <w:r>
        <w:rPr>
          <w:rFonts w:hint="eastAsia"/>
          <w:b/>
          <w:color w:val="auto"/>
          <w:sz w:val="26"/>
          <w:szCs w:val="26"/>
          <w:highlight w:val="none"/>
        </w:rPr>
        <w:t>严重不符合 0项，一般不符合 1项，观察项0项。不符合项分布在</w:t>
      </w:r>
      <w:r>
        <w:rPr>
          <w:rFonts w:hint="eastAsia"/>
          <w:b/>
          <w:color w:val="auto"/>
          <w:sz w:val="26"/>
          <w:szCs w:val="26"/>
          <w:highlight w:val="none"/>
          <w:lang w:eastAsia="zh-CN"/>
        </w:rPr>
        <w:t>采购</w:t>
      </w:r>
      <w:r>
        <w:rPr>
          <w:rFonts w:hint="eastAsia"/>
          <w:b/>
          <w:color w:val="auto"/>
          <w:sz w:val="26"/>
          <w:szCs w:val="26"/>
          <w:highlight w:val="none"/>
        </w:rPr>
        <w:t>部门</w:t>
      </w:r>
      <w:r>
        <w:rPr>
          <w:rFonts w:hint="eastAsia"/>
          <w:b/>
          <w:color w:val="auto"/>
          <w:sz w:val="26"/>
          <w:szCs w:val="26"/>
          <w:highlight w:val="none"/>
          <w:lang w:val="en-US" w:eastAsia="zh-CN"/>
        </w:rPr>
        <w:t>Q</w:t>
      </w:r>
      <w:r>
        <w:rPr>
          <w:rFonts w:hint="eastAsia"/>
          <w:b/>
          <w:color w:val="auto"/>
          <w:sz w:val="26"/>
          <w:szCs w:val="26"/>
          <w:highlight w:val="none"/>
        </w:rPr>
        <w:t>8.</w:t>
      </w:r>
      <w:r>
        <w:rPr>
          <w:rFonts w:hint="eastAsia"/>
          <w:b/>
          <w:color w:val="auto"/>
          <w:sz w:val="26"/>
          <w:szCs w:val="26"/>
          <w:highlight w:val="none"/>
          <w:lang w:val="en-US" w:eastAsia="zh-CN"/>
        </w:rPr>
        <w:t>4.1</w:t>
      </w:r>
      <w:r>
        <w:rPr>
          <w:rFonts w:hint="eastAsia"/>
          <w:b/>
          <w:color w:val="auto"/>
          <w:sz w:val="26"/>
          <w:szCs w:val="26"/>
          <w:highlight w:val="none"/>
        </w:rPr>
        <w:t xml:space="preserve"> 条款，见不符合</w:t>
      </w:r>
      <w:r>
        <w:rPr>
          <w:rFonts w:hint="eastAsia" w:ascii="宋体" w:hAnsi="宋体"/>
          <w:b/>
          <w:color w:val="auto"/>
          <w:szCs w:val="21"/>
          <w:highlight w:val="none"/>
        </w:rPr>
        <w:t>项分布表。（Q/J/E/S分开填写）</w:t>
      </w:r>
    </w:p>
    <w:p>
      <w:pPr>
        <w:tabs>
          <w:tab w:val="left" w:pos="645"/>
        </w:tabs>
        <w:spacing w:after="163" w:afterLines="50" w:line="360" w:lineRule="exact"/>
        <w:rPr>
          <w:b/>
          <w:sz w:val="16"/>
          <w:szCs w:val="16"/>
        </w:rPr>
      </w:pPr>
      <w:r>
        <w:rPr>
          <w:rFonts w:hint="eastAsia"/>
          <w:b/>
          <w:sz w:val="26"/>
          <w:szCs w:val="26"/>
        </w:rPr>
        <w:t>九、审核结论</w:t>
      </w:r>
    </w:p>
    <w:tbl>
      <w:tblPr>
        <w:tblStyle w:val="7"/>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5"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tabs>
                <w:tab w:val="left" w:pos="2552"/>
              </w:tabs>
              <w:spacing w:beforeLines="50" w:afterLines="50" w:line="280" w:lineRule="exact"/>
              <w:ind w:firstLine="480" w:firstLineChars="200"/>
              <w:rPr>
                <w:rFonts w:ascii="宋体" w:hAnsi="宋体"/>
                <w:b/>
                <w:szCs w:val="21"/>
              </w:rPr>
            </w:pPr>
            <w:r>
              <w:rPr>
                <w:rFonts w:hint="eastAsia" w:ascii="微软雅黑" w:hAnsi="微软雅黑" w:eastAsia="微软雅黑"/>
                <w:bCs/>
                <w:szCs w:val="24"/>
              </w:rPr>
              <w:t>综上所述，审核组一致认为（</w:t>
            </w:r>
            <w:r>
              <w:rPr>
                <w:rFonts w:asciiTheme="minorEastAsia" w:hAnsiTheme="minorEastAsia" w:eastAsiaTheme="minorEastAsia"/>
                <w:sz w:val="20"/>
              </w:rPr>
              <w:t>重庆兰阀流体控制设备有限公司</w:t>
            </w:r>
            <w:r>
              <w:rPr>
                <w:rFonts w:hint="eastAsia" w:ascii="微软雅黑" w:hAnsi="微软雅黑" w:eastAsia="微软雅黑"/>
                <w:bCs/>
                <w:szCs w:val="24"/>
              </w:rPr>
              <w:t>）的质量</w:t>
            </w:r>
            <w:r>
              <w:rPr>
                <w:rFonts w:hint="eastAsia" w:ascii="微软雅黑" w:hAnsi="微软雅黑" w:eastAsia="微软雅黑"/>
                <w:bCs/>
                <w:szCs w:val="24"/>
                <w:lang w:eastAsia="zh-CN"/>
              </w:rPr>
              <w:t>、环境</w:t>
            </w:r>
            <w:r>
              <w:rPr>
                <w:rFonts w:hint="eastAsia" w:ascii="微软雅黑" w:hAnsi="微软雅黑" w:eastAsia="微软雅黑"/>
                <w:bCs/>
                <w:szCs w:val="24"/>
              </w:rPr>
              <w:t>管理体系</w:t>
            </w:r>
            <w:r>
              <w:rPr>
                <w:rFonts w:hint="eastAsia"/>
                <w:b/>
                <w:sz w:val="26"/>
                <w:szCs w:val="26"/>
              </w:rPr>
              <w:t>适宜、充分、</w:t>
            </w:r>
            <w:r>
              <w:rPr>
                <w:rFonts w:hint="eastAsia" w:ascii="微软雅黑" w:hAnsi="微软雅黑" w:eastAsia="微软雅黑"/>
                <w:bCs/>
                <w:szCs w:val="24"/>
              </w:rPr>
              <w:t>得到良好的实施和保持，</w:t>
            </w:r>
            <w:r>
              <w:rPr>
                <w:rFonts w:hint="eastAsia" w:ascii="微软雅黑" w:hAnsi="微软雅黑" w:eastAsia="微软雅黑"/>
                <w:spacing w:val="14"/>
                <w:szCs w:val="24"/>
              </w:rPr>
              <w:t>体系运行持续有效。</w:t>
            </w:r>
          </w:p>
          <w:p>
            <w:pPr>
              <w:spacing w:line="280" w:lineRule="exact"/>
              <w:ind w:firstLine="241" w:firstLineChars="100"/>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lang w:eastAsia="zh-CN"/>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r>
        <w:rPr>
          <w:rFonts w:hint="eastAsia"/>
          <w:b/>
          <w:sz w:val="26"/>
          <w:szCs w:val="26"/>
          <w:lang w:val="en-US" w:eastAsia="zh-CN"/>
        </w:rPr>
        <w:t>无</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b/>
          <w:sz w:val="21"/>
        </w:rPr>
      </w:pPr>
      <w:r>
        <w:rPr>
          <w:rFonts w:hint="eastAsia"/>
          <w:b/>
          <w:sz w:val="21"/>
        </w:rPr>
        <w:t>日期：</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lang w:val="en-US" w:eastAsia="zh-CN"/>
        </w:rPr>
        <w:t xml:space="preserve">   </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 xml:space="preserve">   </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w:t>
      </w:r>
      <w:r>
        <w:rPr>
          <w:rFonts w:hint="eastAsia"/>
          <w:b/>
          <w:bCs/>
          <w:sz w:val="21"/>
          <w:szCs w:val="21"/>
          <w:lang w:val="en-US" w:eastAsia="zh-CN"/>
        </w:rPr>
        <w:t xml:space="preserve"> </w:t>
      </w:r>
      <w:r>
        <w:rPr>
          <w:rFonts w:hint="eastAsia"/>
          <w:b/>
          <w:bCs/>
          <w:sz w:val="21"/>
          <w:szCs w:val="21"/>
        </w:rPr>
        <w:t xml:space="preserve">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lang w:val="en-US" w:eastAsia="zh-CN"/>
        </w:rPr>
        <w:t xml:space="preserve">   </w:t>
      </w:r>
      <w:r>
        <w:rPr>
          <w:b/>
          <w:sz w:val="21"/>
          <w:szCs w:val="21"/>
        </w:rPr>
        <w:t>)</w:t>
      </w:r>
      <w:r>
        <w:rPr>
          <w:rFonts w:hint="eastAsia"/>
          <w:b/>
          <w:sz w:val="21"/>
          <w:szCs w:val="21"/>
        </w:rPr>
        <w:t>个一般不符合，</w:t>
      </w:r>
      <w:r>
        <w:rPr>
          <w:b/>
          <w:sz w:val="21"/>
          <w:szCs w:val="21"/>
        </w:rPr>
        <w:t xml:space="preserve">( </w:t>
      </w:r>
      <w:r>
        <w:rPr>
          <w:rFonts w:hint="eastAsia"/>
          <w:b/>
          <w:sz w:val="21"/>
          <w:szCs w:val="21"/>
          <w:lang w:val="en-US" w:eastAsia="zh-CN"/>
        </w:rPr>
        <w:t xml:space="preserve">  </w:t>
      </w:r>
      <w:r>
        <w:rPr>
          <w:b/>
          <w:sz w:val="21"/>
          <w:szCs w:val="21"/>
        </w:rPr>
        <w:t>)</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r>
        <w:rPr>
          <w:rFonts w:hint="eastAsia"/>
          <w:b/>
          <w:sz w:val="21"/>
          <w:szCs w:val="21"/>
          <w:lang w:val="en-US" w:eastAsia="zh-CN"/>
        </w:rPr>
        <w:t>无</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rFonts w:hint="default" w:eastAsia="宋体"/>
          <w:b/>
          <w:sz w:val="21"/>
          <w:szCs w:val="21"/>
          <w:u w:val="single"/>
          <w:lang w:val="en-US" w:eastAsia="zh-CN"/>
        </w:rPr>
      </w:pPr>
      <w:r>
        <w:rPr>
          <w:rFonts w:hint="eastAsia"/>
          <w:b/>
          <w:sz w:val="21"/>
          <w:szCs w:val="21"/>
        </w:rPr>
        <w:t>组长签字：</w:t>
      </w:r>
      <w:r>
        <w:rPr>
          <w:rFonts w:hint="eastAsia"/>
          <w:b/>
          <w:sz w:val="21"/>
          <w:szCs w:val="21"/>
          <w:lang w:val="en-US" w:eastAsia="zh-CN"/>
        </w:rPr>
        <w:t xml:space="preserve">                       </w:t>
      </w:r>
      <w:r>
        <w:rPr>
          <w:rFonts w:hint="eastAsia"/>
          <w:b/>
          <w:sz w:val="21"/>
          <w:szCs w:val="21"/>
        </w:rPr>
        <w:t>日期：     年     月     日</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6"/>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firstLine="723" w:firstLineChars="300"/>
        <w:rPr>
          <w:b/>
          <w:szCs w:val="24"/>
        </w:rPr>
      </w:pPr>
      <w:r>
        <w:rPr>
          <w:rFonts w:hint="eastAsia"/>
          <w:b/>
          <w:szCs w:val="24"/>
        </w:rPr>
        <w:t>认证评定负责人：</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numPr>
          <w:ilvl w:val="0"/>
          <w:numId w:val="6"/>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napToGrid w:val="0"/>
        <w:spacing w:before="163" w:beforeLines="50" w:after="163" w:afterLines="50" w:line="360" w:lineRule="exact"/>
        <w:ind w:firstLine="723" w:firstLineChars="300"/>
        <w:rPr>
          <w:rFonts w:hint="eastAsia"/>
          <w:b/>
          <w:szCs w:val="24"/>
        </w:rPr>
      </w:pPr>
      <w:r>
        <w:rPr>
          <w:rFonts w:hint="eastAsia"/>
          <w:b/>
          <w:szCs w:val="24"/>
        </w:rPr>
        <w:t>批准人（总经理）：</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98" w:leftChars="-41" w:firstLine="810" w:firstLineChars="450"/>
      <w:jc w:val="left"/>
      <w:rPr>
        <w:rStyle w:val="15"/>
        <w:rFonts w:hint="default"/>
      </w:rPr>
    </w:pPr>
    <w:r>
      <w:pict>
        <v:shape id="_x0000_s3073"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r>
      <w:pict>
        <v:shape id="文本框 1" o:spid="_x0000_s3074"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5"/>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7C5C19"/>
    <w:multiLevelType w:val="singleLevel"/>
    <w:tmpl w:val="B57C5C19"/>
    <w:lvl w:ilvl="0" w:tentative="0">
      <w:start w:val="3"/>
      <w:numFmt w:val="decimal"/>
      <w:lvlText w:val="%1."/>
      <w:lvlJc w:val="left"/>
      <w:pPr>
        <w:tabs>
          <w:tab w:val="left" w:pos="312"/>
        </w:tabs>
      </w:pPr>
    </w:lvl>
  </w:abstractNum>
  <w:abstractNum w:abstractNumId="1">
    <w:nsid w:val="DA7BDFAB"/>
    <w:multiLevelType w:val="singleLevel"/>
    <w:tmpl w:val="DA7BDFAB"/>
    <w:lvl w:ilvl="0" w:tentative="0">
      <w:start w:val="2"/>
      <w:numFmt w:val="decimal"/>
      <w:suff w:val="nothing"/>
      <w:lvlText w:val="%1、"/>
      <w:lvlJc w:val="left"/>
    </w:lvl>
  </w:abstractNum>
  <w:abstractNum w:abstractNumId="2">
    <w:nsid w:val="E89D2F20"/>
    <w:multiLevelType w:val="singleLevel"/>
    <w:tmpl w:val="E89D2F20"/>
    <w:lvl w:ilvl="0" w:tentative="0">
      <w:start w:val="2"/>
      <w:numFmt w:val="decimal"/>
      <w:lvlText w:val="%1."/>
      <w:lvlJc w:val="left"/>
      <w:pPr>
        <w:tabs>
          <w:tab w:val="left" w:pos="312"/>
        </w:tabs>
      </w:pPr>
    </w:lvl>
  </w:abstractNum>
  <w:abstractNum w:abstractNumId="3">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4">
    <w:nsid w:val="2680083D"/>
    <w:multiLevelType w:val="singleLevel"/>
    <w:tmpl w:val="2680083D"/>
    <w:lvl w:ilvl="0" w:tentative="0">
      <w:start w:val="8"/>
      <w:numFmt w:val="decimal"/>
      <w:suff w:val="space"/>
      <w:lvlText w:val="%1."/>
      <w:lvlJc w:val="left"/>
    </w:lvl>
  </w:abstractNum>
  <w:abstractNum w:abstractNumId="5">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5"/>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AED18E6"/>
    <w:rsid w:val="14290511"/>
    <w:rsid w:val="27BD238C"/>
    <w:rsid w:val="3ACC76ED"/>
    <w:rsid w:val="42055848"/>
    <w:rsid w:val="50B83174"/>
    <w:rsid w:val="6BE171EA"/>
    <w:rsid w:val="704755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1"/>
        <o:r id="V:Rule2" type="connector" idref="#_x0000_s205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Plain Text"/>
    <w:basedOn w:val="1"/>
    <w:uiPriority w:val="99"/>
    <w:rPr>
      <w:rFonts w:hint="eastAsia" w:ascii="宋体" w:hAnsi="Courier New"/>
      <w:szCs w:val="20"/>
    </w:rPr>
  </w:style>
  <w:style w:type="paragraph" w:styleId="4">
    <w:name w:val="Balloon Text"/>
    <w:basedOn w:val="1"/>
    <w:link w:val="10"/>
    <w:semiHidden/>
    <w:uiPriority w:val="99"/>
    <w:rPr>
      <w:sz w:val="18"/>
      <w:szCs w:val="18"/>
    </w:rPr>
  </w:style>
  <w:style w:type="paragraph" w:styleId="5">
    <w:name w:val="footer"/>
    <w:basedOn w:val="1"/>
    <w:link w:val="11"/>
    <w:semiHidden/>
    <w:qFormat/>
    <w:uiPriority w:val="99"/>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批注框文本 Char"/>
    <w:link w:val="4"/>
    <w:semiHidden/>
    <w:qFormat/>
    <w:locked/>
    <w:uiPriority w:val="99"/>
    <w:rPr>
      <w:rFonts w:ascii="Times New Roman" w:hAnsi="Times New Roman" w:eastAsia="宋体" w:cs="Times New Roman"/>
      <w:sz w:val="18"/>
      <w:szCs w:val="18"/>
    </w:rPr>
  </w:style>
  <w:style w:type="character" w:customStyle="1" w:styleId="11">
    <w:name w:val="页脚 Char"/>
    <w:link w:val="5"/>
    <w:semiHidden/>
    <w:locked/>
    <w:uiPriority w:val="99"/>
    <w:rPr>
      <w:rFonts w:ascii="Times New Roman" w:hAnsi="Times New Roman" w:eastAsia="宋体" w:cs="Times New Roman"/>
      <w:sz w:val="18"/>
      <w:szCs w:val="18"/>
    </w:rPr>
  </w:style>
  <w:style w:type="character" w:customStyle="1" w:styleId="12">
    <w:name w:val="页眉 Char"/>
    <w:link w:val="6"/>
    <w:qFormat/>
    <w:locked/>
    <w:uiPriority w:val="0"/>
    <w:rPr>
      <w:sz w:val="18"/>
    </w:rPr>
  </w:style>
  <w:style w:type="character" w:customStyle="1" w:styleId="13">
    <w:name w:val="页眉 Char1"/>
    <w:semiHidden/>
    <w:uiPriority w:val="99"/>
    <w:rPr>
      <w:rFonts w:ascii="Times New Roman" w:hAnsi="Times New Roman" w:eastAsia="宋体" w:cs="Times New Roman"/>
      <w:sz w:val="18"/>
      <w:szCs w:val="18"/>
    </w:rPr>
  </w:style>
  <w:style w:type="paragraph" w:styleId="14">
    <w:name w:val="List Paragraph"/>
    <w:basedOn w:val="1"/>
    <w:qFormat/>
    <w:uiPriority w:val="99"/>
    <w:pPr>
      <w:ind w:firstLine="420" w:firstLineChars="200"/>
    </w:pPr>
    <w:rPr>
      <w:sz w:val="21"/>
      <w:szCs w:val="24"/>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Info spid="_x0000_s2052"/>
    <customShpInfo spid="_x0000_s2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6</TotalTime>
  <ScaleCrop>false</ScaleCrop>
  <LinksUpToDate>false</LinksUpToDate>
  <CharactersWithSpaces>4386</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Dell</cp:lastModifiedBy>
  <cp:lastPrinted>2019-04-18T08:15:00Z</cp:lastPrinted>
  <dcterms:modified xsi:type="dcterms:W3CDTF">2020-01-15T01:24:38Z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