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科度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业有限公司</w:t>
            </w:r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Cs w:val="44"/>
                <w:u w:val="none"/>
              </w:rPr>
              <w:t>00</w:t>
            </w:r>
            <w:r>
              <w:rPr>
                <w:rFonts w:hint="eastAsia"/>
                <w:szCs w:val="44"/>
                <w:u w:val="none"/>
                <w:lang w:val="en-US" w:eastAsia="zh-CN"/>
              </w:rPr>
              <w:t>26</w:t>
            </w:r>
            <w:r>
              <w:rPr>
                <w:rFonts w:hint="eastAsia"/>
                <w:szCs w:val="44"/>
                <w:u w:val="none"/>
              </w:rPr>
              <w:t>-2020-EI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四川省成都市武侯区郭家桥北街2号1幢3-4号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徐强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成都市武侯区武侯大道双楠段112号A9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方利群 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15928510167</w:t>
            </w:r>
            <w:r>
              <w:rPr>
                <w:rFonts w:hint="eastAsia" w:hAnsi="宋体" w:cs="Tahom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15928510167</w:t>
            </w:r>
            <w:r>
              <w:rPr>
                <w:rFonts w:hint="eastAsia" w:hAnsi="宋体" w:cs="Tahom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0" w:name="审核类别"/>
            <w:bookmarkEnd w:id="0"/>
            <w:bookmarkStart w:id="1" w:name="认证领域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诚信</w:t>
            </w:r>
            <w:r>
              <w:rPr>
                <w:rFonts w:ascii="宋体" w:hAnsi="宋体"/>
                <w:bCs/>
                <w:sz w:val="24"/>
              </w:rPr>
              <w:t>管理体系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spacing w:line="400" w:lineRule="exact"/>
              <w:ind w:firstLine="324" w:firstLineChars="135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依据GB/T31950-2015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pStyle w:val="4"/>
              <w:spacing w:line="400" w:lineRule="exact"/>
              <w:rPr>
                <w:rFonts w:hint="eastAsia" w:hAnsi="宋体" w:cs="Tahoma"/>
                <w:sz w:val="24"/>
                <w:szCs w:val="24"/>
              </w:rPr>
            </w:pPr>
            <w:bookmarkStart w:id="2" w:name="审核范围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绘服务【地理信息系统工程、地理信息数据采集及处理、工程测量、不动产测绘（地籍测绘、房产测绘）】、农田工程规划设计、土地整理、土地规划、土地调查、自然资源调查、土地综合整治、数据处理和存储支持服务的诚信活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  <w:bookmarkEnd w:id="2"/>
          </w:p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3" w:name="删减条约"/>
            <w:bookmarkEnd w:id="3"/>
            <w:r>
              <w:rPr>
                <w:rFonts w:hint="eastAsia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40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部门：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不符合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分布部门：         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不符合性质：□一般不符合   □严重不符合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项。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保持 </w:t>
            </w:r>
            <w:r>
              <w:rPr>
                <w:rFonts w:hint="eastAsia" w:ascii="宋体" w:hAnsi="宋体"/>
                <w:sz w:val="24"/>
              </w:rPr>
              <w:t xml:space="preserve">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管理层、</w:t>
            </w:r>
            <w:r>
              <w:rPr>
                <w:rFonts w:hint="eastAsia" w:ascii="宋体" w:hAnsi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综合管理部、</w:t>
            </w: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财务部、技</w:t>
            </w:r>
            <w:r>
              <w:rPr>
                <w:rFonts w:hint="eastAsia" w:ascii="宋体" w:hAnsi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术</w:t>
            </w: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部</w:t>
            </w:r>
          </w:p>
          <w:p>
            <w:pPr>
              <w:pStyle w:val="17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4.1诚信管理体系要求4.2承诺及旅行；5.1确立诚信方针5.2确立诚信目标5.2.1 总则5.2.2 过程控制5.2.3 最高管理者的职责5.3识别诚信要素5.4应对变化6.1资源保障6.1.1 总则6.1.2 人力资源6.1.3 基础设施6.1.4 实施环境6.1.5 资源监视和测量6.1.6 企业知识6.2诚信意识培养6.3诚信信息交流6.4文件6.4.1 总则6.4.2 新建和更新6.4.3 控制7.1管理实现总则7.2 诚信要素管理实现7.2.1 人力资源管理7.2.2 外部诚信环境变化影响因素分析7.2.3 需求或期望的分析、识别和确定7.2.4 社会责任履行7.2.5 信息交流与控制7.2.5.1 总则7.2.5.2 内部信息7.2.5.3 外部信息7.2.6 诚信风险管理7.2.6.1 风险的识别7.2.6.2 预警、纠正与防范措施7.2.6.3 应急准备和响应7.2.7 诚信文化建设8.1检查与分析8.2监视和检查8.2.1 承诺兑现8.2.2 过程的监视和检查8.3审核与评价8.4失信评估与处置8.4.1总则8.4.2 评估对象8.4.3 评估内容8.4.4 失信处置9持续改进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643255" cy="251460"/>
                  <wp:effectExtent l="0" t="0" r="0" b="2540"/>
                  <wp:docPr id="4" name="图片 1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2022年12月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9日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6"/>
        <w:rFonts w:hint="default" w:ascii="Times New Roman" w:hAnsi="Times New Roman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4067175</wp:posOffset>
              </wp:positionH>
              <wp:positionV relativeFrom="paragraph">
                <wp:posOffset>28575</wp:posOffset>
              </wp:positionV>
              <wp:extent cx="2473960" cy="306705"/>
              <wp:effectExtent l="0" t="0" r="2540" b="1714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color w:val="000000"/>
                              <w:kern w:val="0"/>
                              <w:szCs w:val="21"/>
                            </w:rPr>
                            <w:t>ISC-B-II-19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审核信息传递表（02版)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0.25pt;margin-top:2.25pt;height:24.15pt;width:194.8pt;z-index:251659264;mso-width-relative:page;mso-height-relative:page;" fillcolor="#FFFFFF" filled="t" stroked="f" coordsize="21600,21600" o:gfxdata="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YtTo9cAAAAJAQAADwAAAAAAAAABACAAAAAiAAAAZHJzL2Rvd25yZXYueG1s&#10;UEsBAhQAFAAAAAgAh07iQFsJhaP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color w:val="000000"/>
                        <w:kern w:val="0"/>
                        <w:szCs w:val="21"/>
                      </w:rPr>
                      <w:t>ISC-B-II-19</w:t>
                    </w:r>
                    <w:r>
                      <w:rPr>
                        <w:rFonts w:hint="eastAsia"/>
                        <w:szCs w:val="21"/>
                      </w:rPr>
                      <w:t>审核信息传递表（02版)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0" t="0" r="13335" b="1016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6"/>
        <w:rFonts w:hint="default" w:ascii="Times New Roman" w:hAnsi="Times New Roman"/>
        <w:szCs w:val="21"/>
      </w:rPr>
      <w:t>北京国标联合认证有限公司</w:t>
    </w:r>
  </w:p>
  <w:p>
    <w:pPr>
      <w:pStyle w:val="7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6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GQ5ZWQ1MmJhMGZkNmYwMjg3MjM4MGI4MGE3YjQifQ=="/>
  </w:docVars>
  <w:rsids>
    <w:rsidRoot w:val="00000000"/>
    <w:rsid w:val="1B28711F"/>
    <w:rsid w:val="2A7A79DB"/>
    <w:rsid w:val="43E03F38"/>
    <w:rsid w:val="4F460183"/>
    <w:rsid w:val="6F065E75"/>
    <w:rsid w:val="77D629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批注框文本 Char"/>
    <w:basedOn w:val="10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10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1885</Words>
  <Characters>2139</Characters>
  <Lines>16</Lines>
  <Paragraphs>4</Paragraphs>
  <TotalTime>2</TotalTime>
  <ScaleCrop>false</ScaleCrop>
  <LinksUpToDate>false</LinksUpToDate>
  <CharactersWithSpaces>2658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胡琳</cp:lastModifiedBy>
  <cp:lastPrinted>2015-12-21T05:08:00Z</cp:lastPrinted>
  <dcterms:modified xsi:type="dcterms:W3CDTF">2022-12-29T01:20:14Z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B692BDC528C245EB842D1D44EACE5CD8</vt:lpwstr>
  </property>
  <property fmtid="{D5CDD505-2E9C-101B-9397-08002B2CF9AE}" pid="3" name="KSOProductBuildVer">
    <vt:lpwstr>2052-11.1.0.12980</vt:lpwstr>
  </property>
</Properties>
</file>