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highlight w:val="yellow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highlight w:val="none"/>
          <w:u w:val="single"/>
        </w:rPr>
        <w:t>1295-2022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992"/>
        <w:gridCol w:w="1133"/>
        <w:gridCol w:w="1133"/>
        <w:gridCol w:w="1275"/>
        <w:gridCol w:w="1285"/>
        <w:gridCol w:w="1552"/>
        <w:gridCol w:w="1518"/>
        <w:gridCol w:w="10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广东擎鼎科技有限公司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成型部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万能工具显微镜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1005723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Nikon MM-40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=10μm，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量块（10-91.8）mm4等2级；工具显微镜测量仪MPE：±2μm；行程精度标准尺±0.001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惠州台证仪器检测服务有限公司东莞分公司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2022年05月13日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成型部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数显高度计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11133440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ID-C125MXB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=1.5μm，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量块（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0.5-25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 3等1级；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量块（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1-25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 3等1级；斜块式测微仪检定器MPE：0.8μm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惠州台证仪器检测服务有限公司东莞分公司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2022年05月13日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模具零件部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游标卡尺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19310298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0-150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mm,0.01mm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=10μm，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量块（10-141.8）mm4等2级；数显千分尺（0-25.4）mmMPE：±2μm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惠州台证仪器检测服务有限公司东莞分公司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2022年05月13日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模具零件部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数显千分尺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103-137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0-25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mm,0.001mm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=1.1μm，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千分尺专用量块（0-100）mm 4等2级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惠州台证仪器检测服务有限公司东莞分公司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2022年05月13日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模具零件部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蔡司三次元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207329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CONTURA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=2.4μm，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量块（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1-100mm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3等1级；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量块（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125-500mm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3等1级；标准球φ24.9766mm 圆度：U=0.10μm（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=2）标准球φ15.8751mm 圆度：U=0.10μm（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=2）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惠州台证仪器检测服务有限公司东莞分公司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2022年05月13日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模具零件部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表面粗糙度检测仪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178-560-01D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0.01mm，300mm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=10μm，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量块（10-291.8）mm 4等2级；粗糙度样板（0-25.4）mm MPE：±2μm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惠州台证仪器检测服务有限公司东莞分公司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2022年05月13日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276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模具零件部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洛氏硬度计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0774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=0.9，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标准金属洛氏硬度块（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20-88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HRA：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=0.9HRA；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标准金属洛氏硬度块（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20-100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HRBW：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=0.9HRBW；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标准金属洛氏硬度块（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20-70</w:t>
            </w: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HRC：</w:t>
            </w:r>
            <w:r>
              <w:rPr>
                <w:rFonts w:hint="eastAsia"/>
                <w:i/>
                <w:iCs/>
                <w:color w:val="auto"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=0.9HRC；</w:t>
            </w:r>
          </w:p>
        </w:tc>
        <w:tc>
          <w:tcPr>
            <w:tcW w:w="155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eastAsia="zh-CN"/>
              </w:rPr>
              <w:t>惠州台证仪器检测服务有限公司东莞分公司</w:t>
            </w:r>
          </w:p>
        </w:tc>
        <w:tc>
          <w:tcPr>
            <w:tcW w:w="151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2022年05月13日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widowControl/>
              <w:ind w:firstLine="42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公司已制定《计量确认管理程序》、《外部供方管理程序》，《溯源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管理程序》，公司未建最高计量标准，测量设备由品质管理TQM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惠州台证仪器检测服务有限公司东莞分公司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检定/校准，校准/检定证书由质管理TQM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课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  <w:bookmarkStart w:id="1" w:name="_GoBack"/>
            <w:bookmarkEnd w:id="1"/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</w:p>
          <w:p>
            <w:pPr>
              <w:spacing w:line="360" w:lineRule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835025</wp:posOffset>
                  </wp:positionH>
                  <wp:positionV relativeFrom="paragraph">
                    <wp:posOffset>284480</wp:posOffset>
                  </wp:positionV>
                  <wp:extent cx="772795" cy="381000"/>
                  <wp:effectExtent l="0" t="0" r="0" b="0"/>
                  <wp:wrapNone/>
                  <wp:docPr id="1" name="图片 6" descr="00441cf01cd4ae4ee624cccd5c42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00441cf01cd4ae4ee624cccd5c42224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CFCFC"/>
                              </a:clrFrom>
                              <a:clrTo>
                                <a:srgbClr val="FCFCFC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A5ZDE1OWVlMjhiYjJlOTUwNjA4YTM1OTU2NjQwZGQifQ=="/>
  </w:docVars>
  <w:rsids>
    <w:rsidRoot w:val="00000000"/>
    <w:rsid w:val="04651754"/>
    <w:rsid w:val="046B1E68"/>
    <w:rsid w:val="06A77064"/>
    <w:rsid w:val="20116EEE"/>
    <w:rsid w:val="233B037C"/>
    <w:rsid w:val="27B01338"/>
    <w:rsid w:val="2D2818F4"/>
    <w:rsid w:val="34D50630"/>
    <w:rsid w:val="39F07CBA"/>
    <w:rsid w:val="48AB1D80"/>
    <w:rsid w:val="58B2555A"/>
    <w:rsid w:val="5E767EDE"/>
    <w:rsid w:val="601259E5"/>
    <w:rsid w:val="635F7193"/>
    <w:rsid w:val="651D15DC"/>
    <w:rsid w:val="69B44C96"/>
    <w:rsid w:val="726A2B3A"/>
    <w:rsid w:val="726A4B67"/>
    <w:rsid w:val="72E70F53"/>
    <w:rsid w:val="79796B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836</Words>
  <Characters>1207</Characters>
  <Lines>3</Lines>
  <Paragraphs>1</Paragraphs>
  <TotalTime>1</TotalTime>
  <ScaleCrop>false</ScaleCrop>
  <LinksUpToDate>false</LinksUpToDate>
  <CharactersWithSpaces>1265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知足常乐</cp:lastModifiedBy>
  <dcterms:modified xsi:type="dcterms:W3CDTF">2022-12-27T23:53:58Z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EEA2E4375E4E43A590031EBF739C74A5</vt:lpwstr>
  </property>
</Properties>
</file>