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294"/>
        <w:gridCol w:w="16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  <w:bookmarkEnd w:id="1"/>
          </w:p>
        </w:tc>
        <w:tc>
          <w:tcPr>
            <w:tcW w:w="14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60400" cy="551815"/>
                  <wp:effectExtent l="0" t="0" r="0" b="6985"/>
                  <wp:docPr id="5" name="图片 5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bookmarkStart w:id="2" w:name="专业代码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Q：16.02.01</w:t>
            </w:r>
            <w:bookmarkEnd w:id="2"/>
          </w:p>
        </w:tc>
        <w:tc>
          <w:tcPr>
            <w:tcW w:w="14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6" name="图片 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7" name="图片 7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原材料的采购---配料---混合、搅拌--成型---自然晾干---检验---成品、外售。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关键过程配料，主要控制参数：配料，配方以及人员、设备、作业指导书等进行控制。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需要确认的过程：成型过程；主要控制参数：成型的温度、成型时间以及人员、设备、作业指导书等进行控制。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《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轻集料混凝土小型空心砌块</w:t>
            </w:r>
            <w:r>
              <w:rPr>
                <w:rFonts w:hint="eastAsia" w:eastAsia="宋体"/>
                <w:b/>
                <w:sz w:val="20"/>
                <w:lang w:eastAsia="zh-CN"/>
              </w:rPr>
              <w:t>》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GB/T15229-2011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尺寸和外观、抗压强度、抗折强度、材料容重、块体容重空心率、含水率和吸水率、干缩率、软化系数、抗碳化性、抗冻性和抗渗性等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2475" cy="628650"/>
                  <wp:effectExtent l="0" t="0" r="9525" b="6350"/>
                  <wp:docPr id="17" name="图片 17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8" name="图片 18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80365" cy="318135"/>
                  <wp:effectExtent l="0" t="0" r="635" b="12065"/>
                  <wp:docPr id="1" name="图片 1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E：16.02.01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0" name="图片 10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11" name="图片 11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原材料的采购---配料---混合、搅拌--成型---自然晾干---检验---成品、外售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废气（主要为粉尘）；控制措施：产生的粉尘经布袋除尘器处理后排放。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噪声：控制措施：采用低噪声设备、基础减振后减少对周围环境的影响。</w:t>
            </w:r>
          </w:p>
          <w:p>
            <w:pPr>
              <w:tabs>
                <w:tab w:val="left" w:pos="1014"/>
              </w:tabs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固废：一般固废：废铜丝、废塑料包装袋定期收集后外售。危废：废拉丝油、废拉丝油桶等；集中收集后暂存于危废间，定期交由有危废处理资质的单位处理。生活垃圾：环卫部门统一清运处置。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《声环境质量标准》GB/T3096、《工业企业挥发性有机物排放控制标准》DB12/2322-2016;《大气污染物综合排放标准》GB16279-1996；《挥发性有机物无组织排放控制标准》GB37822-2019；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一般工业固体废物贮存、处置场污染物控制标准》GB18599;《危险废物贮存污染控制标准》GB18597；《中华人民共和国固体废物污染环境防治法》、《中华人民共和国环境保护法》、《中华人民共和国大气污染防治法》、《中华人民共和国环境噪声污染防治法》、《中华人民共和国清洁生产促进法》、《中华人民共和国节约能源法（修订）2018.10.26实施》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废气、噪声监测。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2475" cy="628650"/>
                  <wp:effectExtent l="0" t="0" r="9525" b="6350"/>
                  <wp:docPr id="21" name="图片 21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2" name="图片 22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北川羌族自治县宏浩建筑材料有限公司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84505" cy="404495"/>
                  <wp:effectExtent l="0" t="0" r="10795" b="1905"/>
                  <wp:docPr id="3" name="图片 3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O：16.02.01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172085"/>
                  <wp:effectExtent l="0" t="0" r="12065" b="5715"/>
                  <wp:docPr id="14" name="图片 14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93700" cy="292100"/>
                  <wp:effectExtent l="0" t="0" r="0" b="0"/>
                  <wp:docPr id="15" name="图片 15" descr="33bc6f8c2a2bb47cbefec1c432b3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33bc6f8c2a2bb47cbefec1c432b3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原材料的采购---配料---混合、搅拌--成型---自然晾干---检验---成品、外售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潜在火灾、爆炸；控制措施：配备灭火设备和消防栓，制定制度及培训，定期检查、定期演练。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机械伤害；控制措施：制定制度及培训，定期检查、定期演练。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触电伤害；控制措施：定期进行安全培训，定期检查设备实施线路及安全使用。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噪声伤害；控制措施：</w:t>
            </w:r>
            <w:r>
              <w:rPr>
                <w:rFonts w:hint="default"/>
                <w:b/>
                <w:sz w:val="20"/>
                <w:lang w:val="en-US" w:eastAsia="zh-CN"/>
              </w:rPr>
              <w:t>定期进行安全培训，配备劳保用品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合同法、中华人民共和国职业病防治法、中华人民共和国安全生产法、新工伤保险条例、劳动保障监察条例、作业场所职业健康管理暂行规定、社会消防安全教育培训规定、生产经营单位生产安全事故应急预案编制导则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52475" cy="628650"/>
                  <wp:effectExtent l="0" t="0" r="9525" b="6350"/>
                  <wp:docPr id="25" name="图片 25" descr="企业微信截图_16721078446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企业微信截图_167210784464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26" name="图片 2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2022.12.30</w:t>
            </w: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7801204"/>
    <w:rsid w:val="1E02787E"/>
    <w:rsid w:val="2CAA7CD1"/>
    <w:rsid w:val="3C641A57"/>
    <w:rsid w:val="574653FC"/>
    <w:rsid w:val="5D1B4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1392</Words>
  <Characters>1607</Characters>
  <Lines>2</Lines>
  <Paragraphs>1</Paragraphs>
  <TotalTime>0</TotalTime>
  <ScaleCrop>false</ScaleCrop>
  <LinksUpToDate>false</LinksUpToDate>
  <CharactersWithSpaces>1610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2023-01-03T03:18:49Z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