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892"/>
        <w:gridCol w:w="661"/>
        <w:gridCol w:w="6"/>
        <w:gridCol w:w="567"/>
        <w:gridCol w:w="597"/>
        <w:gridCol w:w="645"/>
        <w:gridCol w:w="75"/>
        <w:gridCol w:w="101"/>
        <w:gridCol w:w="589"/>
        <w:gridCol w:w="261"/>
        <w:gridCol w:w="75"/>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7"/>
            <w:vAlign w:val="center"/>
          </w:tcPr>
          <w:p>
            <w:pPr>
              <w:rPr>
                <w:sz w:val="21"/>
                <w:szCs w:val="21"/>
              </w:rPr>
            </w:pPr>
            <w:bookmarkStart w:id="0" w:name="组织名称"/>
            <w:r>
              <w:rPr>
                <w:sz w:val="21"/>
                <w:szCs w:val="21"/>
              </w:rPr>
              <w:t>重庆旭亚阀门有限公司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7"/>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重庆市九龙坡区华岩镇新政村9社</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徐群</w:t>
            </w:r>
            <w:bookmarkEnd w:id="2"/>
          </w:p>
        </w:tc>
        <w:tc>
          <w:tcPr>
            <w:tcW w:w="1695" w:type="dxa"/>
            <w:gridSpan w:val="3"/>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18983611583</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p>
        </w:tc>
        <w:tc>
          <w:tcPr>
            <w:tcW w:w="1695" w:type="dxa"/>
            <w:gridSpan w:val="3"/>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0012-2020-QEO</w:t>
            </w:r>
            <w:bookmarkEnd w:id="8"/>
          </w:p>
        </w:tc>
        <w:tc>
          <w:tcPr>
            <w:tcW w:w="1701" w:type="dxa"/>
            <w:gridSpan w:val="4"/>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7"/>
            <w:vAlign w:val="center"/>
          </w:tcPr>
          <w:p>
            <w:pPr>
              <w:rPr>
                <w:sz w:val="20"/>
              </w:rPr>
            </w:pPr>
            <w:bookmarkStart w:id="12" w:name="审核类型ZB"/>
            <w:r>
              <w:rPr>
                <w:rFonts w:hint="eastAsia" w:ascii="宋体" w:hAnsi="宋体"/>
                <w:b/>
                <w:bCs/>
                <w:sz w:val="20"/>
              </w:rPr>
              <w:t>质量管理体系：初次认证第（二）阶段</w:t>
            </w:r>
          </w:p>
          <w:p>
            <w:pPr>
              <w:rPr>
                <w:rFonts w:ascii="宋体" w:hAnsi="宋体"/>
                <w:b/>
                <w:bCs/>
                <w:sz w:val="20"/>
              </w:rPr>
            </w:pPr>
            <w:r>
              <w:rPr>
                <w:rFonts w:hint="eastAsia" w:ascii="宋体" w:hAnsi="宋体"/>
                <w:b/>
                <w:bCs/>
                <w:sz w:val="20"/>
              </w:rPr>
              <w:t>环境管理体系：初次认证第（二）阶段</w:t>
            </w:r>
          </w:p>
          <w:p>
            <w:pPr>
              <w:rPr>
                <w:rFonts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1485" w:type="dxa"/>
            <w:gridSpan w:val="3"/>
            <w:vAlign w:val="center"/>
          </w:tcPr>
          <w:p>
            <w:pPr>
              <w:rPr>
                <w:sz w:val="20"/>
              </w:rPr>
            </w:pPr>
            <w:r>
              <w:rPr>
                <w:rFonts w:hint="eastAsia"/>
                <w:sz w:val="20"/>
              </w:rPr>
              <w:t>审核目的</w:t>
            </w:r>
          </w:p>
        </w:tc>
        <w:tc>
          <w:tcPr>
            <w:tcW w:w="8836" w:type="dxa"/>
            <w:gridSpan w:val="17"/>
          </w:tcPr>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lang w:val="de-DE"/>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2"/>
            <w:vAlign w:val="center"/>
          </w:tcPr>
          <w:p>
            <w:pPr>
              <w:rPr>
                <w:sz w:val="20"/>
              </w:rPr>
            </w:pPr>
            <w:bookmarkStart w:id="13" w:name="审核范围"/>
            <w:r>
              <w:rPr>
                <w:sz w:val="20"/>
              </w:rPr>
              <w:t>Q：资质范围内电磁阀门的生产及销售</w:t>
            </w:r>
          </w:p>
          <w:p>
            <w:pPr>
              <w:rPr>
                <w:sz w:val="20"/>
              </w:rPr>
            </w:pPr>
            <w:r>
              <w:rPr>
                <w:sz w:val="20"/>
              </w:rPr>
              <w:t>E：资质范围内电磁阀门的生产及销售及其场所所涉及的相关环境管理活动</w:t>
            </w:r>
          </w:p>
          <w:p>
            <w:pPr>
              <w:rPr>
                <w:sz w:val="20"/>
              </w:rPr>
            </w:pPr>
            <w:r>
              <w:rPr>
                <w:sz w:val="20"/>
              </w:rPr>
              <w:t>O：资质范围内电磁阀门的生产及销售及其场所所涉及的相关职业健康安全管理活动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Q：18.01.04</w:t>
            </w:r>
          </w:p>
          <w:p>
            <w:pPr>
              <w:rPr>
                <w:sz w:val="20"/>
              </w:rPr>
            </w:pPr>
            <w:r>
              <w:rPr>
                <w:sz w:val="20"/>
              </w:rPr>
              <w:t>E：18.01.04</w:t>
            </w:r>
          </w:p>
          <w:p>
            <w:pPr>
              <w:rPr>
                <w:sz w:val="20"/>
              </w:rPr>
            </w:pPr>
            <w:r>
              <w:rPr>
                <w:sz w:val="20"/>
              </w:rPr>
              <w:t>O：18.01.04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7"/>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 19001-2016idtISO 9001:2015,E：GB/T 24001-2016idtISO 14001:2015,O：ISO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2020年01月14日 上午至2020年01月15日 下午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7"/>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20"/>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985" w:type="dxa"/>
            <w:gridSpan w:val="3"/>
            <w:vAlign w:val="center"/>
          </w:tcPr>
          <w:p>
            <w:pPr>
              <w:jc w:val="center"/>
              <w:rPr>
                <w:sz w:val="20"/>
              </w:rPr>
            </w:pPr>
            <w:r>
              <w:rPr>
                <w:rFonts w:hint="eastAsia"/>
                <w:sz w:val="20"/>
              </w:rPr>
              <w:t>注册资格</w:t>
            </w:r>
          </w:p>
        </w:tc>
        <w:tc>
          <w:tcPr>
            <w:tcW w:w="1831" w:type="dxa"/>
            <w:gridSpan w:val="4"/>
            <w:vAlign w:val="center"/>
          </w:tcPr>
          <w:p>
            <w:pPr>
              <w:jc w:val="center"/>
              <w:rPr>
                <w:sz w:val="20"/>
              </w:rPr>
            </w:pPr>
            <w:r>
              <w:rPr>
                <w:rFonts w:hint="eastAsia"/>
                <w:sz w:val="20"/>
              </w:rPr>
              <w:t>专业代码</w:t>
            </w:r>
          </w:p>
        </w:tc>
        <w:tc>
          <w:tcPr>
            <w:tcW w:w="1746" w:type="dxa"/>
            <w:gridSpan w:val="6"/>
            <w:vAlign w:val="center"/>
          </w:tcPr>
          <w:p>
            <w:pPr>
              <w:jc w:val="center"/>
              <w:rPr>
                <w:sz w:val="20"/>
              </w:rPr>
            </w:pPr>
            <w:r>
              <w:rPr>
                <w:rFonts w:hint="eastAsia"/>
                <w:sz w:val="20"/>
              </w:rPr>
              <w:t>联系电话</w:t>
            </w:r>
          </w:p>
        </w:tc>
        <w:tc>
          <w:tcPr>
            <w:tcW w:w="167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985" w:type="dxa"/>
            <w:gridSpan w:val="3"/>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1831" w:type="dxa"/>
            <w:gridSpan w:val="4"/>
            <w:vAlign w:val="center"/>
          </w:tcPr>
          <w:p>
            <w:pPr>
              <w:jc w:val="center"/>
              <w:rPr>
                <w:sz w:val="20"/>
              </w:rPr>
            </w:pPr>
            <w:r>
              <w:rPr>
                <w:sz w:val="20"/>
              </w:rPr>
              <w:t>Q:18.01.04</w:t>
            </w:r>
          </w:p>
          <w:p>
            <w:pPr>
              <w:jc w:val="center"/>
              <w:rPr>
                <w:sz w:val="20"/>
              </w:rPr>
            </w:pPr>
            <w:r>
              <w:rPr>
                <w:sz w:val="20"/>
              </w:rPr>
              <w:t>E:18.01.04</w:t>
            </w:r>
          </w:p>
          <w:p>
            <w:pPr>
              <w:jc w:val="center"/>
              <w:rPr>
                <w:sz w:val="20"/>
              </w:rPr>
            </w:pPr>
            <w:r>
              <w:rPr>
                <w:sz w:val="20"/>
              </w:rPr>
              <w:t>O:18.01.04</w:t>
            </w:r>
          </w:p>
        </w:tc>
        <w:tc>
          <w:tcPr>
            <w:tcW w:w="1746" w:type="dxa"/>
            <w:gridSpan w:val="6"/>
            <w:vAlign w:val="center"/>
          </w:tcPr>
          <w:p>
            <w:pPr>
              <w:jc w:val="center"/>
              <w:rPr>
                <w:sz w:val="20"/>
              </w:rPr>
            </w:pPr>
            <w:r>
              <w:rPr>
                <w:sz w:val="20"/>
              </w:rPr>
              <w:t>13983696917</w:t>
            </w:r>
          </w:p>
        </w:tc>
        <w:tc>
          <w:tcPr>
            <w:tcW w:w="1674"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张心</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985" w:type="dxa"/>
            <w:gridSpan w:val="3"/>
            <w:vAlign w:val="center"/>
          </w:tcPr>
          <w:p>
            <w:pPr>
              <w:jc w:val="center"/>
              <w:rPr>
                <w:sz w:val="20"/>
              </w:rPr>
            </w:pPr>
            <w:r>
              <w:rPr>
                <w:sz w:val="20"/>
              </w:rPr>
              <w:t>Q:审核员</w:t>
            </w:r>
          </w:p>
        </w:tc>
        <w:tc>
          <w:tcPr>
            <w:tcW w:w="1831" w:type="dxa"/>
            <w:gridSpan w:val="4"/>
            <w:vAlign w:val="center"/>
          </w:tcPr>
          <w:p>
            <w:pPr>
              <w:jc w:val="center"/>
              <w:rPr>
                <w:sz w:val="20"/>
              </w:rPr>
            </w:pPr>
          </w:p>
        </w:tc>
        <w:tc>
          <w:tcPr>
            <w:tcW w:w="1746" w:type="dxa"/>
            <w:gridSpan w:val="6"/>
            <w:vAlign w:val="center"/>
          </w:tcPr>
          <w:p>
            <w:pPr>
              <w:jc w:val="center"/>
              <w:rPr>
                <w:sz w:val="20"/>
              </w:rPr>
            </w:pPr>
            <w:r>
              <w:rPr>
                <w:sz w:val="20"/>
              </w:rPr>
              <w:t>15023289133</w:t>
            </w:r>
          </w:p>
        </w:tc>
        <w:tc>
          <w:tcPr>
            <w:tcW w:w="1674" w:type="dxa"/>
            <w:vAlign w:val="center"/>
          </w:tcPr>
          <w:p>
            <w:pPr>
              <w:jc w:val="center"/>
              <w:rPr>
                <w:sz w:val="20"/>
              </w:rPr>
            </w:pPr>
            <w:r>
              <w:rPr>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r>
              <w:rPr>
                <w:rFonts w:hint="eastAsia"/>
                <w:sz w:val="20"/>
              </w:rPr>
              <w:t>文平</w:t>
            </w: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rFonts w:hint="eastAsia"/>
                <w:sz w:val="20"/>
              </w:rPr>
              <w:t>13983696917</w:t>
            </w:r>
          </w:p>
        </w:tc>
        <w:tc>
          <w:tcPr>
            <w:tcW w:w="1134" w:type="dxa"/>
            <w:gridSpan w:val="3"/>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r>
              <w:rPr>
                <w:rFonts w:hint="eastAsia"/>
                <w:sz w:val="20"/>
              </w:rPr>
              <w:t>2020.1.13</w:t>
            </w:r>
          </w:p>
        </w:tc>
        <w:tc>
          <w:tcPr>
            <w:tcW w:w="1134" w:type="dxa"/>
            <w:gridSpan w:val="3"/>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ascii="宋体" w:hAnsi="宋体"/>
                <w:b/>
                <w:bCs/>
                <w:sz w:val="21"/>
                <w:szCs w:val="21"/>
              </w:rPr>
            </w:pPr>
            <w:r>
              <w:rPr>
                <w:rFonts w:hint="eastAsia" w:ascii="宋体" w:hAnsi="宋体"/>
                <w:b/>
                <w:bCs/>
                <w:sz w:val="21"/>
                <w:szCs w:val="21"/>
              </w:rPr>
              <w:t>14</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8:00-8:30</w:t>
            </w:r>
          </w:p>
        </w:tc>
        <w:tc>
          <w:tcPr>
            <w:tcW w:w="6662" w:type="dxa"/>
            <w:gridSpan w:val="2"/>
            <w:vAlign w:val="center"/>
          </w:tcPr>
          <w:p>
            <w:pPr>
              <w:rPr>
                <w:rFonts w:ascii="宋体" w:hAnsi="宋体"/>
                <w:sz w:val="18"/>
              </w:rPr>
            </w:pPr>
            <w:r>
              <w:rPr>
                <w:rFonts w:hint="eastAsia" w:ascii="宋体" w:hAnsi="宋体"/>
                <w:sz w:val="18"/>
              </w:rPr>
              <w:t>首次会议</w:t>
            </w:r>
          </w:p>
        </w:tc>
        <w:tc>
          <w:tcPr>
            <w:tcW w:w="1065"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cs="宋体"/>
                <w:b/>
                <w:bCs/>
                <w:sz w:val="18"/>
                <w:szCs w:val="18"/>
              </w:rPr>
              <w:t>文平、张心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rPr>
              <w:t>8:30-12:00</w:t>
            </w:r>
          </w:p>
        </w:tc>
        <w:tc>
          <w:tcPr>
            <w:tcW w:w="992" w:type="dxa"/>
            <w:vMerge w:val="restart"/>
          </w:tcPr>
          <w:p>
            <w:pPr>
              <w:spacing w:line="300" w:lineRule="exact"/>
              <w:rPr>
                <w:rFonts w:ascii="宋体" w:hAnsi="宋体"/>
                <w:b/>
                <w:bCs/>
                <w:sz w:val="21"/>
                <w:szCs w:val="21"/>
              </w:rPr>
            </w:pPr>
            <w:r>
              <w:rPr>
                <w:rFonts w:hint="eastAsia" w:ascii="宋体" w:hAnsi="宋体"/>
                <w:sz w:val="21"/>
                <w:szCs w:val="21"/>
              </w:rPr>
              <w:t>管理层</w:t>
            </w:r>
          </w:p>
        </w:tc>
        <w:tc>
          <w:tcPr>
            <w:tcW w:w="5670" w:type="dxa"/>
          </w:tcPr>
          <w:p>
            <w:pPr>
              <w:snapToGrid w:val="0"/>
              <w:spacing w:line="240" w:lineRule="exact"/>
              <w:rPr>
                <w:rFonts w:ascii="宋体" w:hAnsi="宋体" w:cs="新宋体"/>
                <w:sz w:val="18"/>
                <w:szCs w:val="18"/>
              </w:rPr>
            </w:pPr>
            <w:r>
              <w:rPr>
                <w:rFonts w:hint="eastAsia" w:ascii="宋体" w:hAnsi="宋体" w:cs="新宋体"/>
                <w:sz w:val="18"/>
                <w:szCs w:val="18"/>
              </w:rPr>
              <w:t>QMS-2015：</w:t>
            </w:r>
            <w:r>
              <w:rPr>
                <w:rFonts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color w:val="000000" w:themeColor="text1"/>
                <w:sz w:val="18"/>
                <w:szCs w:val="18"/>
                <w14:textFill>
                  <w14:solidFill>
                    <w14:schemeClr w14:val="tx1"/>
                  </w14:solidFill>
                </w14:textFill>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tc>
        <w:tc>
          <w:tcPr>
            <w:tcW w:w="1065"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18"/>
                <w:szCs w:val="18"/>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hint="eastAsia" w:ascii="宋体" w:hAnsi="宋体"/>
                <w:b/>
                <w:bCs/>
                <w:sz w:val="21"/>
                <w:szCs w:val="21"/>
              </w:rPr>
            </w:pPr>
          </w:p>
        </w:tc>
        <w:tc>
          <w:tcPr>
            <w:tcW w:w="992" w:type="dxa"/>
            <w:vMerge w:val="continue"/>
          </w:tcPr>
          <w:p>
            <w:pPr>
              <w:spacing w:line="300" w:lineRule="exact"/>
              <w:rPr>
                <w:rFonts w:hint="eastAsia" w:ascii="宋体" w:hAnsi="宋体"/>
                <w:sz w:val="21"/>
                <w:szCs w:val="21"/>
              </w:rPr>
            </w:pPr>
          </w:p>
        </w:tc>
        <w:tc>
          <w:tcPr>
            <w:tcW w:w="5670" w:type="dxa"/>
          </w:tcPr>
          <w:p>
            <w:pPr>
              <w:rPr>
                <w:rFonts w:ascii="宋体" w:hAnsi="宋体" w:cs="新宋体"/>
                <w:sz w:val="18"/>
                <w:szCs w:val="18"/>
              </w:rPr>
            </w:pPr>
            <w:r>
              <w:rPr>
                <w:rFonts w:hint="eastAsia" w:ascii="宋体" w:hAnsi="宋体" w:cs="新宋体"/>
                <w:sz w:val="18"/>
                <w:szCs w:val="18"/>
              </w:rPr>
              <w:t>EMS-2015：</w:t>
            </w:r>
            <w:r>
              <w:rPr>
                <w:rFonts w:ascii="宋体" w:hAnsi="宋体" w:cs="新宋体"/>
                <w:sz w:val="18"/>
                <w:szCs w:val="18"/>
              </w:rPr>
              <w:t xml:space="preserve"> </w:t>
            </w:r>
          </w:p>
          <w:p>
            <w:pPr>
              <w:spacing w:line="300" w:lineRule="exact"/>
              <w:rPr>
                <w:rFonts w:ascii="宋体" w:hAnsi="宋体" w:cs="新宋体"/>
                <w:color w:val="000000" w:themeColor="text1"/>
                <w:sz w:val="18"/>
                <w:szCs w:val="18"/>
                <w14:textFill>
                  <w14:solidFill>
                    <w14:schemeClr w14:val="tx1"/>
                  </w14:solidFill>
                </w14:textFill>
              </w:rPr>
            </w:pPr>
            <w:r>
              <w:rPr>
                <w:rFonts w:hint="eastAsia" w:ascii="宋体" w:hAnsi="宋体" w:cs="新宋体"/>
                <w:color w:val="000000" w:themeColor="text1"/>
                <w:sz w:val="18"/>
                <w:szCs w:val="18"/>
                <w14:textFill>
                  <w14:solidFill>
                    <w14:schemeClr w14:val="tx1"/>
                  </w14:solidFill>
                </w14:textFill>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r>
              <w:rPr>
                <w:rFonts w:ascii="宋体" w:hAnsi="宋体" w:cs="新宋体"/>
                <w:sz w:val="18"/>
                <w:szCs w:val="18"/>
              </w:rPr>
              <w:t xml:space="preserve"> </w:t>
            </w:r>
          </w:p>
          <w:p>
            <w:pPr>
              <w:spacing w:line="300" w:lineRule="exact"/>
              <w:rPr>
                <w:rFonts w:hint="eastAsia" w:ascii="宋体" w:hAnsi="宋体" w:cs="新宋体"/>
                <w:sz w:val="18"/>
                <w:szCs w:val="18"/>
              </w:rPr>
            </w:pPr>
            <w:r>
              <w:rPr>
                <w:rFonts w:hint="eastAsia" w:ascii="宋体" w:hAnsi="宋体" w:cs="新宋体"/>
                <w:color w:val="000000" w:themeColor="text1"/>
                <w:sz w:val="18"/>
                <w:szCs w:val="18"/>
                <w14:textFill>
                  <w14:solidFill>
                    <w14:schemeClr w14:val="tx1"/>
                  </w14:solidFill>
                </w14:textFill>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p>
        </w:tc>
        <w:tc>
          <w:tcPr>
            <w:tcW w:w="1065" w:type="dxa"/>
            <w:tcBorders>
              <w:right w:val="single" w:color="auto" w:sz="8" w:space="0"/>
            </w:tcBorders>
          </w:tcPr>
          <w:p>
            <w:pPr>
              <w:snapToGrid w:val="0"/>
              <w:spacing w:line="320" w:lineRule="exact"/>
              <w:rPr>
                <w:rFonts w:hint="eastAsia" w:ascii="宋体" w:hAnsi="宋体" w:cs="宋体"/>
                <w:b/>
                <w:bCs/>
                <w:sz w:val="18"/>
                <w:szCs w:val="18"/>
              </w:rPr>
            </w:pPr>
            <w:r>
              <w:rPr>
                <w:rFonts w:hint="eastAsia" w:ascii="宋体" w:hAnsi="宋体" w:cs="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rPr>
              <w:t>13:00-17:00</w:t>
            </w:r>
          </w:p>
        </w:tc>
        <w:tc>
          <w:tcPr>
            <w:tcW w:w="992" w:type="dxa"/>
            <w:vMerge w:val="restart"/>
          </w:tcPr>
          <w:p>
            <w:pPr>
              <w:spacing w:line="300" w:lineRule="exact"/>
              <w:rPr>
                <w:rFonts w:ascii="宋体" w:hAnsi="宋体"/>
                <w:b/>
                <w:bCs/>
                <w:sz w:val="21"/>
                <w:szCs w:val="21"/>
              </w:rPr>
            </w:pPr>
            <w:r>
              <w:rPr>
                <w:rFonts w:hint="eastAsia" w:ascii="宋体" w:hAnsi="宋体" w:cs="新宋体"/>
                <w:sz w:val="21"/>
                <w:szCs w:val="21"/>
              </w:rPr>
              <w:t>综合部</w:t>
            </w:r>
          </w:p>
        </w:tc>
        <w:tc>
          <w:tcPr>
            <w:tcW w:w="5670" w:type="dxa"/>
          </w:tcPr>
          <w:p>
            <w:pPr>
              <w:snapToGrid w:val="0"/>
              <w:spacing w:line="240" w:lineRule="exact"/>
              <w:rPr>
                <w:rFonts w:hint="eastAsia" w:ascii="宋体" w:hAnsi="宋体" w:cs="新宋体"/>
                <w:sz w:val="18"/>
                <w:szCs w:val="18"/>
              </w:rPr>
            </w:pPr>
            <w:r>
              <w:rPr>
                <w:rFonts w:hint="eastAsia" w:ascii="宋体" w:hAnsi="宋体" w:cs="新宋体"/>
                <w:sz w:val="18"/>
                <w:szCs w:val="18"/>
              </w:rPr>
              <w:t>QMS-2015：</w:t>
            </w:r>
          </w:p>
          <w:p>
            <w:pPr>
              <w:snapToGrid w:val="0"/>
              <w:spacing w:line="240" w:lineRule="exact"/>
              <w:rPr>
                <w:rFonts w:hint="default" w:ascii="宋体" w:hAnsi="宋体" w:eastAsia="宋体" w:cs="新宋体"/>
                <w:sz w:val="18"/>
                <w:szCs w:val="18"/>
                <w:lang w:val="en-US" w:eastAsia="zh-CN"/>
              </w:rPr>
            </w:pPr>
            <w:bookmarkStart w:id="17" w:name="_GoBack"/>
            <w:bookmarkEnd w:id="17"/>
            <w:r>
              <w:rPr>
                <w:rFonts w:hint="eastAsia" w:ascii="宋体" w:hAnsi="宋体" w:cs="新宋体"/>
                <w:color w:val="000000" w:themeColor="text1"/>
                <w:sz w:val="18"/>
                <w:szCs w:val="18"/>
              </w:rPr>
              <w:t>5.3岗位/职责 /权限；6.2质量目标及其实现的策划； 7.2能力；7.3意识；7.5文件化信息；8.4外部提供供方的控制；</w:t>
            </w:r>
            <w:r>
              <w:rPr>
                <w:rFonts w:hint="eastAsia" w:ascii="宋体" w:hAnsi="宋体" w:cs="新宋体"/>
                <w:color w:val="000000" w:themeColor="text1"/>
                <w:sz w:val="18"/>
                <w:szCs w:val="18"/>
                <w:lang w:val="en-US" w:eastAsia="zh-CN"/>
              </w:rPr>
              <w:t>7.1.4</w:t>
            </w:r>
            <w:r>
              <w:rPr>
                <w:rFonts w:hint="eastAsia" w:ascii="宋体" w:hAnsi="宋体" w:cs="新宋体"/>
                <w:color w:val="000000" w:themeColor="text1"/>
                <w:sz w:val="18"/>
                <w:szCs w:val="18"/>
              </w:rPr>
              <w:t>运作环境</w:t>
            </w:r>
          </w:p>
        </w:tc>
        <w:tc>
          <w:tcPr>
            <w:tcW w:w="1065" w:type="dxa"/>
            <w:tcBorders>
              <w:right w:val="single" w:color="auto" w:sz="8" w:space="0"/>
            </w:tcBorders>
          </w:tcPr>
          <w:p>
            <w:pPr>
              <w:snapToGrid w:val="0"/>
              <w:spacing w:line="320" w:lineRule="exact"/>
              <w:rPr>
                <w:rFonts w:ascii="宋体" w:hAnsi="宋体"/>
                <w:b/>
                <w:bCs/>
                <w:sz w:val="18"/>
                <w:szCs w:val="18"/>
              </w:rPr>
            </w:pPr>
            <w:r>
              <w:rPr>
                <w:rFonts w:hint="eastAsia" w:ascii="宋体" w:hAnsi="宋体" w:cs="宋体"/>
                <w:b/>
                <w:bCs/>
                <w:sz w:val="18"/>
                <w:szCs w:val="18"/>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9"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vMerge w:val="continue"/>
          </w:tcPr>
          <w:p>
            <w:pPr>
              <w:spacing w:line="300" w:lineRule="exact"/>
              <w:rPr>
                <w:rFonts w:hint="eastAsia" w:ascii="宋体" w:hAnsi="宋体" w:cs="新宋体"/>
                <w:sz w:val="21"/>
                <w:szCs w:val="21"/>
              </w:rPr>
            </w:pPr>
          </w:p>
        </w:tc>
        <w:tc>
          <w:tcPr>
            <w:tcW w:w="5670" w:type="dxa"/>
          </w:tcPr>
          <w:p>
            <w:pPr>
              <w:rPr>
                <w:rFonts w:ascii="宋体" w:hAnsi="宋体" w:cs="新宋体"/>
                <w:color w:val="000000" w:themeColor="text1"/>
                <w:sz w:val="18"/>
                <w:szCs w:val="18"/>
                <w14:textFill>
                  <w14:solidFill>
                    <w14:schemeClr w14:val="tx1"/>
                  </w14:solidFill>
                </w14:textFill>
              </w:rPr>
            </w:pPr>
            <w:r>
              <w:rPr>
                <w:rFonts w:hint="eastAsia" w:ascii="宋体" w:hAnsi="宋体" w:cs="新宋体"/>
                <w:sz w:val="18"/>
                <w:szCs w:val="18"/>
              </w:rPr>
              <w:t>E</w:t>
            </w:r>
            <w:r>
              <w:rPr>
                <w:rFonts w:hint="eastAsia" w:ascii="宋体" w:hAnsi="宋体" w:cs="新宋体"/>
                <w:color w:val="000000" w:themeColor="text1"/>
                <w:sz w:val="18"/>
                <w:szCs w:val="18"/>
                <w14:textFill>
                  <w14:solidFill>
                    <w14:schemeClr w14:val="tx1"/>
                  </w14:solidFill>
                </w14:textFill>
              </w:rPr>
              <w:t>MS-2015：</w:t>
            </w:r>
            <w:r>
              <w:rPr>
                <w:rFonts w:ascii="宋体" w:hAnsi="宋体" w:cs="新宋体"/>
                <w:color w:val="000000" w:themeColor="text1"/>
                <w:sz w:val="18"/>
                <w:szCs w:val="18"/>
                <w14:textFill>
                  <w14:solidFill>
                    <w14:schemeClr w14:val="tx1"/>
                  </w14:solidFill>
                </w14:textFill>
              </w:rPr>
              <w:t xml:space="preserve"> </w:t>
            </w:r>
            <w:r>
              <w:rPr>
                <w:rFonts w:hint="eastAsia" w:ascii="宋体" w:hAnsi="宋体" w:cs="新宋体"/>
                <w:color w:val="000000" w:themeColor="text1"/>
                <w:sz w:val="18"/>
                <w:szCs w:val="18"/>
                <w14:textFill>
                  <w14:solidFill>
                    <w14:schemeClr w14:val="tx1"/>
                  </w14:solidFill>
                </w14:textFill>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rPr>
                <w:rFonts w:hint="eastAsia" w:ascii="宋体" w:hAnsi="宋体" w:cs="新宋体"/>
                <w:color w:val="000000" w:themeColor="text1"/>
                <w:sz w:val="18"/>
                <w:szCs w:val="18"/>
              </w:rPr>
            </w:pPr>
            <w:r>
              <w:rPr>
                <w:rFonts w:hint="eastAsia" w:ascii="宋体" w:hAnsi="宋体" w:cs="新宋体"/>
                <w:color w:val="000000" w:themeColor="text1"/>
                <w:sz w:val="18"/>
                <w:szCs w:val="18"/>
              </w:rPr>
              <w:t xml:space="preserve">ISO45001：2018： </w:t>
            </w:r>
          </w:p>
          <w:p>
            <w:pPr>
              <w:rPr>
                <w:rFonts w:hint="eastAsia" w:ascii="宋体" w:hAnsi="宋体" w:cs="新宋体"/>
                <w:sz w:val="18"/>
                <w:szCs w:val="18"/>
              </w:rPr>
            </w:pPr>
            <w:r>
              <w:rPr>
                <w:rFonts w:hint="eastAsia" w:ascii="宋体" w:hAnsi="宋体" w:cs="新宋体"/>
                <w:color w:val="000000" w:themeColor="text1"/>
                <w:sz w:val="18"/>
                <w:szCs w:val="18"/>
              </w:rPr>
              <w:t>5.3组织的角色、职责和权限；6.1.2危险源辨识和职业6.2目标及其实现的策划安全风险评价；6.1.3法律法规要求和其他要求；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color="auto" w:sz="8" w:space="0"/>
            </w:tcBorders>
          </w:tcPr>
          <w:p>
            <w:pPr>
              <w:snapToGrid w:val="0"/>
              <w:spacing w:line="320" w:lineRule="exact"/>
              <w:rPr>
                <w:rFonts w:hint="eastAsia" w:ascii="宋体" w:hAnsi="宋体" w:cs="宋体"/>
                <w:b/>
                <w:bCs/>
                <w:sz w:val="18"/>
                <w:szCs w:val="18"/>
              </w:rPr>
            </w:pPr>
            <w:r>
              <w:rPr>
                <w:rFonts w:hint="eastAsia" w:ascii="宋体" w:hAnsi="宋体" w:cs="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011" w:type="dxa"/>
            <w:vMerge w:val="restart"/>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ascii="宋体" w:hAnsi="宋体"/>
                <w:b/>
                <w:bCs/>
                <w:sz w:val="21"/>
                <w:szCs w:val="21"/>
              </w:rPr>
            </w:pPr>
            <w:r>
              <w:rPr>
                <w:rFonts w:hint="eastAsia" w:ascii="宋体" w:hAnsi="宋体"/>
                <w:b/>
                <w:bCs/>
                <w:sz w:val="21"/>
                <w:szCs w:val="21"/>
              </w:rPr>
              <w:t>15</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rPr>
              <w:t>8:00-16:00</w:t>
            </w:r>
          </w:p>
          <w:p>
            <w:pPr>
              <w:snapToGrid w:val="0"/>
              <w:spacing w:line="320" w:lineRule="exact"/>
              <w:rPr>
                <w:rFonts w:ascii="宋体" w:hAnsi="宋体"/>
                <w:b/>
                <w:bCs/>
                <w:sz w:val="21"/>
                <w:szCs w:val="21"/>
              </w:rPr>
            </w:pPr>
            <w:r>
              <w:rPr>
                <w:rFonts w:hint="eastAsia" w:ascii="宋体" w:hAnsi="宋体"/>
                <w:b/>
                <w:bCs/>
                <w:sz w:val="21"/>
                <w:szCs w:val="21"/>
              </w:rPr>
              <w:t>（午餐时间12:00-13:00）</w:t>
            </w:r>
          </w:p>
        </w:tc>
        <w:tc>
          <w:tcPr>
            <w:tcW w:w="992" w:type="dxa"/>
            <w:vMerge w:val="restart"/>
          </w:tcPr>
          <w:p>
            <w:pPr>
              <w:spacing w:line="300" w:lineRule="exact"/>
              <w:rPr>
                <w:rFonts w:ascii="宋体" w:hAnsi="宋体" w:cs="新宋体"/>
                <w:sz w:val="21"/>
                <w:szCs w:val="21"/>
              </w:rPr>
            </w:pPr>
            <w:r>
              <w:rPr>
                <w:rFonts w:hint="eastAsia" w:ascii="宋体" w:hAnsi="宋体" w:cs="新宋体"/>
                <w:sz w:val="21"/>
                <w:szCs w:val="21"/>
                <w:lang w:eastAsia="zh-CN"/>
              </w:rPr>
              <w:t>市场</w:t>
            </w:r>
            <w:r>
              <w:rPr>
                <w:rFonts w:hint="eastAsia" w:ascii="宋体" w:hAnsi="宋体" w:cs="新宋体"/>
                <w:sz w:val="21"/>
                <w:szCs w:val="21"/>
              </w:rPr>
              <w:t>部</w:t>
            </w:r>
          </w:p>
        </w:tc>
        <w:tc>
          <w:tcPr>
            <w:tcW w:w="5670" w:type="dxa"/>
          </w:tcPr>
          <w:p>
            <w:pPr>
              <w:snapToGrid w:val="0"/>
              <w:spacing w:line="240" w:lineRule="exact"/>
              <w:rPr>
                <w:rFonts w:ascii="宋体" w:hAnsi="宋体" w:cs="新宋体"/>
                <w:color w:val="000000" w:themeColor="text1"/>
                <w:sz w:val="18"/>
                <w:szCs w:val="18"/>
                <w14:textFill>
                  <w14:solidFill>
                    <w14:schemeClr w14:val="tx1"/>
                  </w14:solidFill>
                </w14:textFill>
              </w:rPr>
            </w:pPr>
            <w:r>
              <w:rPr>
                <w:rFonts w:hint="eastAsia" w:ascii="宋体" w:hAnsi="宋体" w:cs="新宋体"/>
                <w:color w:val="000000" w:themeColor="text1"/>
                <w:sz w:val="18"/>
                <w:szCs w:val="18"/>
                <w14:textFill>
                  <w14:solidFill>
                    <w14:schemeClr w14:val="tx1"/>
                  </w14:solidFill>
                </w14:textFill>
              </w:rPr>
              <w:t>QMS-2015：</w:t>
            </w:r>
            <w:r>
              <w:rPr>
                <w:rFonts w:ascii="宋体" w:hAnsi="宋体" w:cs="新宋体"/>
                <w:color w:val="000000" w:themeColor="text1"/>
                <w:sz w:val="18"/>
                <w:szCs w:val="18"/>
                <w14:textFill>
                  <w14:solidFill>
                    <w14:schemeClr w14:val="tx1"/>
                  </w14:solidFill>
                </w14:textFill>
              </w:rPr>
              <w:t xml:space="preserve"> </w:t>
            </w:r>
          </w:p>
          <w:p>
            <w:pPr>
              <w:snapToGrid w:val="0"/>
              <w:spacing w:line="240" w:lineRule="exact"/>
              <w:rPr>
                <w:rFonts w:ascii="宋体" w:hAnsi="宋体" w:cs="新宋体"/>
                <w:sz w:val="18"/>
                <w:szCs w:val="18"/>
              </w:rPr>
            </w:pPr>
            <w:r>
              <w:rPr>
                <w:rFonts w:hint="eastAsia" w:ascii="宋体" w:hAnsi="宋体" w:cs="新宋体"/>
                <w:color w:val="000000" w:themeColor="text1"/>
                <w:sz w:val="18"/>
                <w:szCs w:val="18"/>
                <w14:textFill>
                  <w14:solidFill>
                    <w14:schemeClr w14:val="tx1"/>
                  </w14:solidFill>
                </w14:textFill>
              </w:rPr>
              <w:t>5.3岗位/职责 /权限；6.2质量目标及其实现的策划；7.4沟通；8.2产品和服务的要求；9.1.2顾客满意；</w:t>
            </w:r>
          </w:p>
        </w:tc>
        <w:tc>
          <w:tcPr>
            <w:tcW w:w="1065" w:type="dxa"/>
            <w:tcBorders>
              <w:right w:val="single" w:color="auto" w:sz="8" w:space="0"/>
            </w:tcBorders>
          </w:tcPr>
          <w:p>
            <w:pPr>
              <w:snapToGrid w:val="0"/>
              <w:spacing w:line="320" w:lineRule="exact"/>
              <w:rPr>
                <w:rFonts w:ascii="宋体" w:hAnsi="宋体" w:cs="宋体"/>
                <w:b/>
                <w:bCs/>
                <w:sz w:val="18"/>
                <w:szCs w:val="18"/>
              </w:rPr>
            </w:pPr>
            <w:r>
              <w:rPr>
                <w:rFonts w:hint="eastAsia" w:ascii="宋体" w:hAnsi="宋体" w:cs="宋体"/>
                <w:b/>
                <w:bCs/>
                <w:sz w:val="18"/>
                <w:szCs w:val="18"/>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vMerge w:val="continue"/>
          </w:tcPr>
          <w:p>
            <w:pPr>
              <w:spacing w:line="300" w:lineRule="exact"/>
              <w:rPr>
                <w:rFonts w:ascii="宋体" w:hAnsi="宋体" w:cs="新宋体"/>
                <w:sz w:val="21"/>
                <w:szCs w:val="21"/>
              </w:rPr>
            </w:pPr>
          </w:p>
        </w:tc>
        <w:tc>
          <w:tcPr>
            <w:tcW w:w="5670" w:type="dxa"/>
          </w:tcPr>
          <w:p>
            <w:pPr>
              <w:rPr>
                <w:rFonts w:ascii="宋体" w:hAnsi="宋体" w:cs="新宋体"/>
                <w:color w:val="000000" w:themeColor="text1"/>
                <w:sz w:val="18"/>
                <w:szCs w:val="18"/>
                <w14:textFill>
                  <w14:solidFill>
                    <w14:schemeClr w14:val="tx1"/>
                  </w14:solidFill>
                </w14:textFill>
              </w:rPr>
            </w:pPr>
            <w:r>
              <w:rPr>
                <w:rFonts w:hint="eastAsia" w:ascii="宋体" w:hAnsi="宋体" w:cs="新宋体"/>
                <w:color w:val="000000" w:themeColor="text1"/>
                <w:sz w:val="18"/>
                <w:szCs w:val="18"/>
                <w14:textFill>
                  <w14:solidFill>
                    <w14:schemeClr w14:val="tx1"/>
                  </w14:solidFill>
                </w14:textFill>
              </w:rPr>
              <w:t>EMS-2015：</w:t>
            </w:r>
            <w:r>
              <w:rPr>
                <w:rFonts w:ascii="宋体" w:hAnsi="宋体" w:cs="新宋体"/>
                <w:color w:val="000000" w:themeColor="text1"/>
                <w:sz w:val="18"/>
                <w:szCs w:val="18"/>
                <w14:textFill>
                  <w14:solidFill>
                    <w14:schemeClr w14:val="tx1"/>
                  </w14:solidFill>
                </w14:textFill>
              </w:rPr>
              <w:t xml:space="preserve"> </w:t>
            </w:r>
          </w:p>
          <w:p>
            <w:pPr>
              <w:snapToGrid w:val="0"/>
              <w:spacing w:line="240" w:lineRule="exact"/>
              <w:rPr>
                <w:rFonts w:ascii="宋体" w:hAnsi="宋体" w:cs="新宋体"/>
                <w:color w:val="000000" w:themeColor="text1"/>
                <w:sz w:val="18"/>
                <w:szCs w:val="18"/>
                <w14:textFill>
                  <w14:solidFill>
                    <w14:schemeClr w14:val="tx1"/>
                  </w14:solidFill>
                </w14:textFill>
              </w:rPr>
            </w:pPr>
            <w:r>
              <w:rPr>
                <w:rFonts w:hint="eastAsia" w:ascii="宋体" w:hAnsi="宋体" w:cs="新宋体"/>
                <w:color w:val="000000" w:themeColor="text1"/>
                <w:sz w:val="18"/>
                <w:szCs w:val="18"/>
                <w14:textFill>
                  <w14:solidFill>
                    <w14:schemeClr w14:val="tx1"/>
                  </w14:solidFill>
                </w14:textFill>
              </w:rPr>
              <w:t>5.3组织的角色、职责和权限、6.1.2环境因素；6.2目标及其达成的策划；7.4沟通；8.1运行策划和控制；8.2应急准备和响应；</w:t>
            </w:r>
          </w:p>
          <w:p>
            <w:pPr>
              <w:snapToGrid w:val="0"/>
              <w:spacing w:line="240" w:lineRule="exact"/>
              <w:rPr>
                <w:rFonts w:ascii="宋体" w:hAnsi="宋体" w:cs="新宋体"/>
                <w:color w:val="000000" w:themeColor="text1"/>
                <w:sz w:val="18"/>
                <w:szCs w:val="18"/>
                <w14:textFill>
                  <w14:solidFill>
                    <w14:schemeClr w14:val="tx1"/>
                  </w14:solidFill>
                </w14:textFill>
              </w:rPr>
            </w:pPr>
          </w:p>
          <w:p>
            <w:pPr>
              <w:snapToGrid w:val="0"/>
              <w:spacing w:line="240" w:lineRule="exact"/>
              <w:rPr>
                <w:rFonts w:ascii="宋体" w:hAnsi="宋体" w:cs="新宋体"/>
                <w:color w:val="000000" w:themeColor="text1"/>
                <w:sz w:val="18"/>
                <w:szCs w:val="18"/>
                <w14:textFill>
                  <w14:solidFill>
                    <w14:schemeClr w14:val="tx1"/>
                  </w14:solidFill>
                </w14:textFill>
              </w:rPr>
            </w:pPr>
            <w:r>
              <w:rPr>
                <w:rFonts w:hint="eastAsia" w:ascii="宋体" w:hAnsi="宋体" w:cs="新宋体"/>
                <w:color w:val="000000" w:themeColor="text1"/>
                <w:sz w:val="18"/>
                <w:szCs w:val="18"/>
                <w14:textFill>
                  <w14:solidFill>
                    <w14:schemeClr w14:val="tx1"/>
                  </w14:solidFill>
                </w14:textFill>
              </w:rPr>
              <w:t>ISO45001：2018：</w:t>
            </w:r>
            <w:r>
              <w:rPr>
                <w:rFonts w:ascii="宋体" w:hAnsi="宋体" w:cs="新宋体"/>
                <w:color w:val="000000" w:themeColor="text1"/>
                <w:sz w:val="18"/>
                <w:szCs w:val="18"/>
                <w14:textFill>
                  <w14:solidFill>
                    <w14:schemeClr w14:val="tx1"/>
                  </w14:solidFill>
                </w14:textFill>
              </w:rPr>
              <w:t xml:space="preserve"> </w:t>
            </w:r>
          </w:p>
          <w:p>
            <w:pPr>
              <w:snapToGrid w:val="0"/>
              <w:spacing w:line="240" w:lineRule="exact"/>
              <w:rPr>
                <w:rFonts w:ascii="宋体" w:hAnsi="宋体" w:cs="新宋体"/>
                <w:sz w:val="18"/>
                <w:szCs w:val="18"/>
              </w:rPr>
            </w:pPr>
            <w:r>
              <w:rPr>
                <w:rFonts w:hint="eastAsia" w:ascii="宋体" w:hAnsi="宋体" w:cs="新宋体"/>
                <w:color w:val="000000" w:themeColor="text1"/>
                <w:sz w:val="18"/>
                <w:szCs w:val="18"/>
                <w14:textFill>
                  <w14:solidFill>
                    <w14:schemeClr w14:val="tx1"/>
                  </w14:solidFill>
                </w14:textFill>
              </w:rPr>
              <w:t>5.3组织的角色、职责和权限；6.1.2危险源辨识和职业安全风险评价；6.2目标及其实现的策划；7.4信息和沟通；8.1运行策划和控制；8.2应急准备和响应；</w:t>
            </w:r>
          </w:p>
        </w:tc>
        <w:tc>
          <w:tcPr>
            <w:tcW w:w="1065" w:type="dxa"/>
            <w:tcBorders>
              <w:right w:val="single" w:color="auto" w:sz="8" w:space="0"/>
            </w:tcBorders>
          </w:tcPr>
          <w:p>
            <w:pPr>
              <w:snapToGrid w:val="0"/>
              <w:spacing w:line="320" w:lineRule="exact"/>
              <w:rPr>
                <w:rFonts w:ascii="宋体" w:hAnsi="宋体" w:cs="宋体"/>
                <w:b/>
                <w:bCs/>
                <w:sz w:val="18"/>
                <w:szCs w:val="18"/>
              </w:rPr>
            </w:pPr>
            <w:r>
              <w:rPr>
                <w:rFonts w:hint="eastAsia" w:ascii="宋体" w:hAnsi="宋体" w:cs="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tcPr>
          <w:p>
            <w:pPr>
              <w:spacing w:line="300" w:lineRule="exact"/>
              <w:rPr>
                <w:rFonts w:ascii="宋体" w:hAnsi="宋体" w:cs="新宋体"/>
                <w:sz w:val="21"/>
                <w:szCs w:val="21"/>
              </w:rPr>
            </w:pPr>
            <w:r>
              <w:rPr>
                <w:rFonts w:hint="eastAsia" w:ascii="宋体" w:hAnsi="宋体" w:cs="新宋体"/>
                <w:sz w:val="21"/>
                <w:szCs w:val="21"/>
              </w:rPr>
              <w:t>生产部</w:t>
            </w:r>
          </w:p>
        </w:tc>
        <w:tc>
          <w:tcPr>
            <w:tcW w:w="5670" w:type="dxa"/>
          </w:tcPr>
          <w:p>
            <w:pPr>
              <w:snapToGrid w:val="0"/>
              <w:spacing w:line="240" w:lineRule="exact"/>
              <w:rPr>
                <w:rFonts w:ascii="宋体" w:hAnsi="宋体" w:cs="新宋体"/>
                <w:sz w:val="18"/>
                <w:szCs w:val="18"/>
              </w:rPr>
            </w:pPr>
            <w:r>
              <w:rPr>
                <w:rFonts w:hint="eastAsia" w:ascii="宋体" w:hAnsi="宋体" w:cs="新宋体"/>
                <w:sz w:val="18"/>
                <w:szCs w:val="18"/>
              </w:rPr>
              <w:t>QMS-2015：</w:t>
            </w:r>
            <w:r>
              <w:rPr>
                <w:rFonts w:ascii="宋体" w:hAnsi="宋体" w:cs="新宋体"/>
                <w:sz w:val="18"/>
                <w:szCs w:val="18"/>
              </w:rPr>
              <w:t xml:space="preserve"> </w:t>
            </w:r>
          </w:p>
          <w:p>
            <w:pPr>
              <w:rPr>
                <w:rFonts w:hint="eastAsia" w:ascii="宋体" w:hAnsi="宋体" w:cs="新宋体"/>
                <w:sz w:val="18"/>
                <w:szCs w:val="18"/>
              </w:rPr>
            </w:pPr>
            <w:r>
              <w:rPr>
                <w:rFonts w:hint="eastAsia" w:ascii="宋体" w:hAnsi="宋体" w:cs="新宋体"/>
                <w:sz w:val="18"/>
                <w:szCs w:val="18"/>
              </w:rPr>
              <w:t>5.3岗位/职责 /权限；6.2质量目标及其实现的策划；7.1.3基础设施；7.1.4过程运行环境；7.1.5</w:t>
            </w:r>
            <w:r>
              <w:rPr>
                <w:rFonts w:hint="eastAsia" w:ascii="宋体" w:hAnsi="宋体" w:cs="宋体"/>
                <w:sz w:val="18"/>
                <w:szCs w:val="18"/>
              </w:rPr>
              <w:t>监视和测量资源</w:t>
            </w:r>
            <w:r>
              <w:rPr>
                <w:rFonts w:hint="eastAsia" w:ascii="宋体" w:hAnsi="宋体" w:cs="宋体"/>
                <w:sz w:val="21"/>
                <w:szCs w:val="21"/>
              </w:rPr>
              <w:t>；</w:t>
            </w:r>
            <w:r>
              <w:rPr>
                <w:rFonts w:hint="eastAsia" w:ascii="宋体" w:hAnsi="宋体" w:cs="新宋体"/>
                <w:sz w:val="18"/>
                <w:szCs w:val="18"/>
              </w:rPr>
              <w:t>8.1运行策划和控制；8.3设计开发控制；8.5.1生产和服务提供的控制；8.5.2标识和可追溯性；8.5.3顾客或外部供方的财产；8.5.4防护；8.5.5交付后的活动；8.5.6更改控制； 8.6产品和服务放行；8.7不合格输出的控制；</w:t>
            </w:r>
          </w:p>
          <w:p>
            <w:pPr>
              <w:rPr>
                <w:rFonts w:ascii="宋体" w:hAnsi="宋体" w:cs="新宋体"/>
                <w:sz w:val="18"/>
                <w:szCs w:val="18"/>
              </w:rPr>
            </w:pPr>
            <w:r>
              <w:rPr>
                <w:rFonts w:hint="eastAsia" w:ascii="宋体" w:hAnsi="宋体" w:cs="新宋体"/>
                <w:sz w:val="18"/>
                <w:szCs w:val="18"/>
              </w:rPr>
              <w:t>EMS-2015：</w:t>
            </w:r>
            <w:r>
              <w:rPr>
                <w:rFonts w:ascii="宋体" w:hAnsi="宋体" w:cs="新宋体"/>
                <w:sz w:val="18"/>
                <w:szCs w:val="18"/>
              </w:rPr>
              <w:t xml:space="preserve">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 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ISO45001：2018：杨珍全</w:t>
            </w:r>
          </w:p>
          <w:p>
            <w:pPr>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 8.1运行策划和控制；8.2应急准备和响应；</w:t>
            </w:r>
          </w:p>
        </w:tc>
        <w:tc>
          <w:tcPr>
            <w:tcW w:w="1065" w:type="dxa"/>
            <w:tcBorders>
              <w:right w:val="single" w:color="auto" w:sz="8" w:space="0"/>
            </w:tcBorders>
          </w:tcPr>
          <w:p>
            <w:pPr>
              <w:snapToGrid w:val="0"/>
              <w:spacing w:line="320" w:lineRule="exact"/>
              <w:rPr>
                <w:rFonts w:hint="eastAsia" w:ascii="宋体" w:hAnsi="宋体" w:cs="宋体"/>
                <w:b/>
                <w:bCs/>
                <w:sz w:val="18"/>
                <w:szCs w:val="18"/>
              </w:rPr>
            </w:pPr>
            <w:r>
              <w:rPr>
                <w:rFonts w:hint="eastAsia" w:ascii="宋体" w:hAnsi="宋体" w:cs="宋体"/>
                <w:b/>
                <w:bCs/>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cs="宋体"/>
                <w:b/>
                <w:bCs/>
                <w:sz w:val="18"/>
                <w:szCs w:val="18"/>
              </w:rPr>
              <w:t>文平、张心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cs="宋体"/>
                <w:b/>
                <w:bCs/>
                <w:sz w:val="18"/>
                <w:szCs w:val="18"/>
              </w:rPr>
              <w:t>文平、张心</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1025" o:spid="_x0000_s1025"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2584"/>
    <w:rsid w:val="00947AA2"/>
    <w:rsid w:val="00992997"/>
    <w:rsid w:val="00CE2584"/>
    <w:rsid w:val="11591BCA"/>
    <w:rsid w:val="124F2379"/>
    <w:rsid w:val="1FCE631A"/>
    <w:rsid w:val="21094CA8"/>
    <w:rsid w:val="281E1902"/>
    <w:rsid w:val="301D6091"/>
    <w:rsid w:val="45AA7154"/>
    <w:rsid w:val="46041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1672</Words>
  <Characters>1723</Characters>
  <Lines>82</Lines>
  <Paragraphs>91</Paragraphs>
  <TotalTime>5</TotalTime>
  <ScaleCrop>false</ScaleCrop>
  <LinksUpToDate>false</LinksUpToDate>
  <CharactersWithSpaces>3304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张</cp:lastModifiedBy>
  <dcterms:modified xsi:type="dcterms:W3CDTF">2020-01-15T05:49:46Z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