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w:t>
      </w:r>
      <w:r>
        <w:rPr>
          <w:rFonts w:hint="eastAsia"/>
          <w:sz w:val="32"/>
          <w:szCs w:val="32"/>
          <w:u w:val="single"/>
          <w:lang w:val="en-US" w:eastAsia="zh-CN"/>
        </w:rPr>
        <w:t>189</w:t>
      </w:r>
      <w:r>
        <w:rPr>
          <w:sz w:val="32"/>
          <w:szCs w:val="32"/>
          <w:u w:val="single"/>
        </w:rPr>
        <w:t>-2022-Q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河北默澈高深信息技术咨询有限公司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河北默澈高深信息技术咨询有限公司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河北石家庄循环化工园区阿里山大街与信工路交叉口西北角行政服务中心7楼</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石家庄市桥西区中山西路558号</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郑珊</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15103116589</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苏欣</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rPr>
                <w:rFonts w:hint="eastAsia" w:ascii="宋体"/>
                <w:b/>
                <w:color w:val="000000"/>
                <w:szCs w:val="21"/>
                <w:lang w:val="en-US" w:eastAsia="zh-CN"/>
              </w:rPr>
              <w:t>刘学娟</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360"/>
              </w:tabs>
              <w:ind w:left="360" w:hanging="360"/>
              <w:rPr>
                <w:rFonts w:hint="eastAsia" w:ascii="Times New Roman" w:hAnsi="Times New Roman" w:cs="Times New Roman"/>
                <w:b w:val="0"/>
                <w:bCs w:val="0"/>
                <w:sz w:val="21"/>
                <w:szCs w:val="21"/>
                <w:lang w:eastAsia="zh-CN"/>
              </w:rPr>
            </w:pPr>
            <w:r>
              <w:rPr>
                <w:rFonts w:hint="eastAsia" w:ascii="Times New Roman" w:hAnsi="Times New Roman" w:cs="Times New Roman"/>
                <w:b w:val="0"/>
                <w:bCs w:val="0"/>
                <w:sz w:val="21"/>
                <w:szCs w:val="21"/>
              </w:rPr>
              <w:t>软件开发流程：项目立项-计划-需求分析-设计开发-代码编写-系统测试-试运行-验收</w:t>
            </w:r>
          </w:p>
          <w:p>
            <w:pPr>
              <w:tabs>
                <w:tab w:val="left" w:pos="360"/>
              </w:tabs>
              <w:rPr>
                <w:rFonts w:hint="eastAsia" w:ascii="Times New Roman" w:hAnsi="Times New Roman" w:cs="Times New Roman"/>
                <w:b w:val="0"/>
                <w:bCs w:val="0"/>
                <w:sz w:val="21"/>
                <w:szCs w:val="21"/>
                <w:lang w:eastAsia="zh-CN"/>
              </w:rPr>
            </w:pPr>
            <w:r>
              <w:rPr>
                <w:rFonts w:hint="eastAsia" w:ascii="Times New Roman" w:hAnsi="Times New Roman" w:cs="Times New Roman"/>
                <w:b w:val="0"/>
                <w:bCs w:val="0"/>
                <w:sz w:val="21"/>
                <w:szCs w:val="21"/>
                <w:lang w:eastAsia="zh-CN"/>
              </w:rPr>
              <w:t>数据处理服务工作流程：业务洽谈</w:t>
            </w:r>
            <w:r>
              <w:rPr>
                <w:rFonts w:hint="eastAsia" w:ascii="Times New Roman" w:hAnsi="Times New Roman" w:cs="Times New Roman"/>
                <w:b w:val="0"/>
                <w:bCs w:val="0"/>
                <w:sz w:val="21"/>
                <w:szCs w:val="21"/>
                <w:lang w:val="en-US" w:eastAsia="zh-CN"/>
              </w:rPr>
              <w:t>-签订合同-</w:t>
            </w:r>
            <w:r>
              <w:rPr>
                <w:rFonts w:hint="eastAsia" w:ascii="Times New Roman" w:hAnsi="Times New Roman" w:cs="Times New Roman"/>
                <w:b w:val="0"/>
                <w:bCs w:val="0"/>
                <w:sz w:val="21"/>
                <w:szCs w:val="21"/>
              </w:rPr>
              <w:t>业务对接</w:t>
            </w:r>
            <w:r>
              <w:rPr>
                <w:rFonts w:hint="eastAsia" w:ascii="Times New Roman" w:hAnsi="Times New Roman" w:cs="Times New Roman"/>
                <w:b w:val="0"/>
                <w:bCs w:val="0"/>
                <w:sz w:val="21"/>
                <w:szCs w:val="21"/>
                <w:lang w:val="en-US" w:eastAsia="zh-CN"/>
              </w:rPr>
              <w:t>-数据处理</w:t>
            </w:r>
            <w:r>
              <w:rPr>
                <w:rFonts w:hint="eastAsia" w:ascii="Times New Roman" w:hAnsi="Times New Roman" w:cs="Times New Roman"/>
                <w:b w:val="0"/>
                <w:bCs w:val="0"/>
                <w:sz w:val="21"/>
                <w:szCs w:val="21"/>
              </w:rPr>
              <w:t>方案</w:t>
            </w:r>
            <w:r>
              <w:rPr>
                <w:rFonts w:hint="eastAsia" w:ascii="Times New Roman" w:hAnsi="Times New Roman" w:cs="Times New Roman"/>
                <w:b w:val="0"/>
                <w:bCs w:val="0"/>
                <w:sz w:val="21"/>
                <w:szCs w:val="21"/>
                <w:lang w:val="en-US" w:eastAsia="zh-CN"/>
              </w:rPr>
              <w:t>--数据处理--项目结算</w:t>
            </w:r>
          </w:p>
          <w:p>
            <w:r>
              <w:rPr>
                <w:rFonts w:hint="eastAsia" w:ascii="Times New Roman" w:hAnsi="Times New Roman" w:cs="Times New Roman"/>
                <w:b w:val="0"/>
                <w:bCs w:val="0"/>
                <w:sz w:val="21"/>
                <w:szCs w:val="21"/>
                <w:lang w:eastAsia="zh-CN"/>
              </w:rPr>
              <w:t>网络安全运维服务工作流程：业务洽谈</w:t>
            </w:r>
            <w:r>
              <w:rPr>
                <w:rFonts w:hint="eastAsia" w:ascii="Times New Roman" w:hAnsi="Times New Roman" w:cs="Times New Roman"/>
                <w:b w:val="0"/>
                <w:bCs w:val="0"/>
                <w:sz w:val="21"/>
                <w:szCs w:val="21"/>
                <w:lang w:val="en-US" w:eastAsia="zh-CN"/>
              </w:rPr>
              <w:t>-签订合同-</w:t>
            </w:r>
            <w:r>
              <w:rPr>
                <w:rFonts w:hint="eastAsia" w:ascii="Times New Roman" w:hAnsi="Times New Roman" w:cs="Times New Roman"/>
                <w:b w:val="0"/>
                <w:bCs w:val="0"/>
                <w:sz w:val="21"/>
                <w:szCs w:val="21"/>
              </w:rPr>
              <w:t>业务对接</w:t>
            </w:r>
            <w:r>
              <w:rPr>
                <w:rFonts w:hint="eastAsia" w:ascii="Times New Roman" w:hAnsi="Times New Roman" w:cs="Times New Roman"/>
                <w:b w:val="0"/>
                <w:bCs w:val="0"/>
                <w:sz w:val="21"/>
                <w:szCs w:val="21"/>
                <w:lang w:val="en-US" w:eastAsia="zh-CN"/>
              </w:rPr>
              <w:t>-安全服务咨询、渗透测试、安全性维护等安全服务--项目结算</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2022年12月28日 上午至2022年12月28日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19" w:name="办公地址"/>
            <w:bookmarkStart w:id="20" w:name="生产地址"/>
            <w:r>
              <w:rPr>
                <w:rFonts w:ascii="宋体"/>
                <w:b/>
                <w:color w:val="000000"/>
                <w:szCs w:val="21"/>
              </w:rPr>
              <w:t>石家庄市桥西区中山西路558号</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1" w:name="审核范围"/>
            <w:r>
              <w:rPr>
                <w:b w:val="0"/>
                <w:bCs w:val="0"/>
                <w:sz w:val="21"/>
                <w:szCs w:val="21"/>
              </w:rPr>
              <w:t>信息安全软件开发、数据处理服务、网络安全系统运维服务</w:t>
            </w:r>
            <w:bookmarkEnd w:id="2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spacing w:line="400" w:lineRule="exact"/>
            </w:pPr>
            <w:bookmarkStart w:id="22" w:name="专业代码"/>
            <w:r>
              <w:rPr>
                <w:b w:val="0"/>
                <w:bCs w:val="0"/>
                <w:sz w:val="21"/>
                <w:szCs w:val="21"/>
              </w:rPr>
              <w:t>33.02.01;33.02.04;33.03.01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08"/>
        <w:gridCol w:w="1676"/>
        <w:gridCol w:w="567"/>
        <w:gridCol w:w="1858"/>
        <w:gridCol w:w="176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70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1676"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858"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708" w:type="dxa"/>
            <w:vAlign w:val="top"/>
          </w:tcPr>
          <w:p>
            <w:pPr>
              <w:spacing w:before="40" w:after="40"/>
              <w:rPr>
                <w:rFonts w:hint="eastAsia" w:ascii="Times New Roman" w:hAnsi="Times New Roman" w:eastAsia="黑体" w:cs="Times New Roman"/>
                <w:kern w:val="2"/>
                <w:sz w:val="21"/>
                <w:szCs w:val="21"/>
                <w:lang w:val="de-DE" w:eastAsia="zh-CN" w:bidi="ar-SA"/>
              </w:rPr>
            </w:pPr>
            <w:r>
              <w:rPr>
                <w:rFonts w:hint="eastAsia" w:eastAsia="黑体"/>
                <w:szCs w:val="21"/>
                <w:lang w:val="de-DE" w:eastAsia="ja-JP"/>
              </w:rPr>
              <w:t>河北石家庄循环化工园区阿里山大街与信工路交叉口西北角行政服务中心7楼</w:t>
            </w:r>
          </w:p>
        </w:tc>
        <w:tc>
          <w:tcPr>
            <w:tcW w:w="1676"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石家庄市桥西区中山西路558号</w:t>
            </w:r>
          </w:p>
        </w:tc>
        <w:tc>
          <w:tcPr>
            <w:tcW w:w="567"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15</w:t>
            </w:r>
          </w:p>
        </w:tc>
        <w:tc>
          <w:tcPr>
            <w:tcW w:w="1858" w:type="dxa"/>
            <w:vAlign w:val="center"/>
          </w:tcPr>
          <w:p>
            <w:pPr>
              <w:pStyle w:val="21"/>
              <w:rPr>
                <w:rFonts w:ascii="Times New Roman" w:hAnsi="Times New Roman" w:eastAsia="黑体" w:cs="Arial"/>
                <w:kern w:val="2"/>
                <w:sz w:val="21"/>
                <w:szCs w:val="21"/>
                <w:lang w:val="en-US" w:eastAsia="ja-JP" w:bidi="ar-SA"/>
              </w:rPr>
            </w:pPr>
            <w:r>
              <w:rPr>
                <w:b w:val="0"/>
                <w:bCs w:val="0"/>
                <w:sz w:val="21"/>
                <w:szCs w:val="21"/>
              </w:rPr>
              <w:t>信息安全软件开发、数据处理服务、网络安全系统运维服务</w:t>
            </w:r>
          </w:p>
        </w:tc>
        <w:tc>
          <w:tcPr>
            <w:tcW w:w="1768"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30"/>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430" w:type="dxa"/>
            <w:vAlign w:val="center"/>
          </w:tcPr>
          <w:p>
            <w:r>
              <w:rPr>
                <w:rFonts w:hint="eastAsia"/>
              </w:rPr>
              <w:t>审核员注册证书号</w:t>
            </w:r>
          </w:p>
        </w:tc>
        <w:tc>
          <w:tcPr>
            <w:tcW w:w="261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430" w:type="dxa"/>
            <w:vAlign w:val="center"/>
          </w:tcPr>
          <w:p>
            <w:pPr>
              <w:rPr>
                <w:rFonts w:ascii="Times New Roman" w:hAnsi="Times New Roman" w:eastAsia="宋体" w:cs="Times New Roman"/>
                <w:kern w:val="2"/>
                <w:sz w:val="21"/>
                <w:szCs w:val="24"/>
                <w:lang w:val="en-US" w:eastAsia="zh-CN" w:bidi="ar-SA"/>
              </w:rPr>
            </w:pPr>
            <w:r>
              <w:t>2022-N1QMS-4022240</w:t>
            </w:r>
          </w:p>
        </w:tc>
        <w:tc>
          <w:tcPr>
            <w:tcW w:w="2619" w:type="dxa"/>
            <w:vAlign w:val="center"/>
          </w:tcPr>
          <w:p>
            <w:pPr>
              <w:rPr>
                <w:rFonts w:ascii="Times New Roman" w:hAnsi="Times New Roman" w:eastAsia="宋体" w:cs="Times New Roman"/>
                <w:kern w:val="2"/>
                <w:sz w:val="21"/>
                <w:szCs w:val="24"/>
                <w:lang w:val="en-US" w:eastAsia="zh-CN" w:bidi="ar-SA"/>
              </w:rPr>
            </w:pPr>
            <w:r>
              <w:t>33.02.01,33.02.04,33.03.01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430" w:type="dxa"/>
            <w:vAlign w:val="center"/>
          </w:tcPr>
          <w:p>
            <w:pPr>
              <w:rPr>
                <w:rFonts w:ascii="Times New Roman" w:hAnsi="Times New Roman" w:eastAsia="宋体" w:cs="Times New Roman"/>
                <w:kern w:val="2"/>
                <w:sz w:val="21"/>
                <w:szCs w:val="24"/>
                <w:lang w:val="en-US" w:eastAsia="zh-CN" w:bidi="ar-SA"/>
              </w:rPr>
            </w:pPr>
            <w:r>
              <w:t>2021-N1QMS-1215052</w:t>
            </w:r>
          </w:p>
        </w:tc>
        <w:tc>
          <w:tcPr>
            <w:tcW w:w="261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430" w:type="dxa"/>
            <w:vAlign w:val="center"/>
          </w:tcPr>
          <w:p>
            <w:r>
              <w:rPr>
                <w:rFonts w:hint="eastAsia"/>
              </w:rPr>
              <w:t>工作单位</w:t>
            </w:r>
          </w:p>
        </w:tc>
        <w:tc>
          <w:tcPr>
            <w:tcW w:w="261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430" w:type="dxa"/>
            <w:vAlign w:val="center"/>
          </w:tcPr>
          <w:p/>
        </w:tc>
        <w:tc>
          <w:tcPr>
            <w:tcW w:w="261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pPr>
        <w:pStyle w:val="2"/>
      </w:pPr>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pPr>
        <w:pStyle w:val="2"/>
      </w:pP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234315</wp:posOffset>
                  </wp:positionH>
                  <wp:positionV relativeFrom="paragraph">
                    <wp:posOffset>239395</wp:posOffset>
                  </wp:positionV>
                  <wp:extent cx="863600" cy="41592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63600" cy="41592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2022年12月28日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sz w:val="24"/>
                <w:szCs w:val="24"/>
              </w:rPr>
            </w:pPr>
            <w:r>
              <w:rPr>
                <w:sz w:val="24"/>
                <w:szCs w:val="24"/>
              </w:rPr>
              <w:t>严谨、求实、敬业，诚信，持续改进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38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tcPr>
                <w:p>
                  <w:pPr>
                    <w:shd w:val="clear" w:color="auto" w:fill="C7DAF1" w:themeFill="text2" w:themeFillTint="32"/>
                  </w:pPr>
                  <w:r>
                    <w:rPr>
                      <w:rFonts w:hint="eastAsia"/>
                    </w:rPr>
                    <w:t>主要的风险或机遇描述</w:t>
                  </w:r>
                </w:p>
              </w:tc>
              <w:tc>
                <w:tcPr>
                  <w:tcW w:w="3818"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tcPr>
                <w:p>
                  <w:pPr>
                    <w:spacing w:line="220" w:lineRule="atLeast"/>
                    <w:rPr>
                      <w:rFonts w:ascii="楷体" w:hAnsi="楷体" w:eastAsia="楷体"/>
                      <w:bCs/>
                      <w:szCs w:val="21"/>
                    </w:rPr>
                  </w:pPr>
                  <w:r>
                    <w:rPr>
                      <w:rFonts w:hint="eastAsia" w:ascii="楷体" w:hAnsi="楷体" w:eastAsia="楷体"/>
                      <w:bCs/>
                      <w:szCs w:val="21"/>
                    </w:rPr>
                    <w:t>1．未按</w:t>
                  </w:r>
                  <w:r>
                    <w:rPr>
                      <w:rFonts w:hint="eastAsia" w:ascii="楷体" w:hAnsi="楷体" w:eastAsia="楷体"/>
                      <w:szCs w:val="21"/>
                    </w:rPr>
                    <w:t>计算机软件研发</w:t>
                  </w:r>
                  <w:r>
                    <w:rPr>
                      <w:rFonts w:hint="eastAsia" w:ascii="楷体" w:hAnsi="楷体" w:eastAsia="楷体"/>
                      <w:bCs/>
                      <w:szCs w:val="21"/>
                    </w:rPr>
                    <w:t>计划执行、放松研发过程测试、试运行检测等。</w:t>
                  </w:r>
                </w:p>
                <w:p>
                  <w:pPr>
                    <w:shd w:val="clear" w:color="auto" w:fill="C7DAF1" w:themeFill="text2" w:themeFillTint="32"/>
                  </w:pPr>
                  <w:r>
                    <w:rPr>
                      <w:rFonts w:hint="eastAsia" w:ascii="楷体" w:hAnsi="楷体" w:eastAsia="楷体"/>
                      <w:bCs/>
                      <w:szCs w:val="21"/>
                    </w:rPr>
                    <w:t>2.月度计划未下发 ，盲目实施</w:t>
                  </w:r>
                </w:p>
              </w:tc>
              <w:tc>
                <w:tcPr>
                  <w:tcW w:w="3818" w:type="dxa"/>
                </w:tcPr>
                <w:p>
                  <w:pPr>
                    <w:shd w:val="clear" w:color="auto" w:fill="C7DAF1" w:themeFill="text2" w:themeFillTint="32"/>
                    <w:rPr>
                      <w:rFonts w:hint="eastAsia" w:eastAsia="楷体"/>
                      <w:lang w:eastAsia="zh-CN"/>
                    </w:rPr>
                  </w:pPr>
                  <w:r>
                    <w:rPr>
                      <w:rFonts w:hint="eastAsia" w:ascii="楷体" w:hAnsi="楷体" w:eastAsia="楷体"/>
                      <w:bCs/>
                      <w:szCs w:val="21"/>
                    </w:rPr>
                    <w:t>1.编制</w:t>
                  </w:r>
                  <w:r>
                    <w:rPr>
                      <w:rFonts w:hint="eastAsia" w:ascii="楷体" w:hAnsi="楷体" w:eastAsia="楷体"/>
                      <w:szCs w:val="21"/>
                    </w:rPr>
                    <w:t xml:space="preserve"> 计算机软件研发</w:t>
                  </w:r>
                  <w:r>
                    <w:rPr>
                      <w:rFonts w:hint="eastAsia" w:ascii="楷体" w:hAnsi="楷体" w:eastAsia="楷体"/>
                      <w:bCs/>
                      <w:szCs w:val="21"/>
                    </w:rPr>
                    <w:t>方案，严格按</w:t>
                  </w:r>
                  <w:r>
                    <w:rPr>
                      <w:rFonts w:hint="eastAsia" w:ascii="楷体" w:hAnsi="楷体" w:eastAsia="楷体"/>
                      <w:szCs w:val="21"/>
                    </w:rPr>
                    <w:t>计算机软件研发</w:t>
                  </w:r>
                  <w:r>
                    <w:rPr>
                      <w:rFonts w:hint="eastAsia" w:ascii="楷体" w:hAnsi="楷体" w:eastAsia="楷体"/>
                      <w:bCs/>
                      <w:szCs w:val="21"/>
                    </w:rPr>
                    <w:t>计划执行、加强研发过程测试、试运行检测等手段。2.对月度计划进行制定，并按要求进行</w:t>
                  </w:r>
                  <w:r>
                    <w:rPr>
                      <w:rFonts w:hint="eastAsia" w:ascii="楷体" w:hAnsi="楷体" w:eastAsia="楷体"/>
                      <w:bCs/>
                      <w:szCs w:val="21"/>
                      <w:lang w:eastAsia="zh-CN"/>
                    </w:rPr>
                    <w:t>。</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996"/>
              <w:gridCol w:w="2922"/>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tcPr>
                <w:p>
                  <w:pPr>
                    <w:widowControl/>
                    <w:spacing w:before="40"/>
                    <w:jc w:val="left"/>
                    <w:rPr>
                      <w:color w:val="000000"/>
                      <w:sz w:val="21"/>
                      <w:szCs w:val="21"/>
                    </w:rPr>
                  </w:pPr>
                  <w:r>
                    <w:rPr>
                      <w:rFonts w:hint="eastAsia"/>
                      <w:color w:val="000000"/>
                      <w:sz w:val="21"/>
                      <w:szCs w:val="21"/>
                    </w:rPr>
                    <w:t>目标</w:t>
                  </w:r>
                </w:p>
              </w:tc>
              <w:tc>
                <w:tcPr>
                  <w:tcW w:w="1118" w:type="dxa"/>
                </w:tcPr>
                <w:p>
                  <w:pPr>
                    <w:widowControl/>
                    <w:spacing w:before="40"/>
                    <w:jc w:val="left"/>
                    <w:rPr>
                      <w:color w:val="000000"/>
                      <w:sz w:val="21"/>
                      <w:szCs w:val="21"/>
                    </w:rPr>
                  </w:pPr>
                  <w:r>
                    <w:rPr>
                      <w:rFonts w:hint="eastAsia"/>
                      <w:color w:val="000000"/>
                      <w:sz w:val="21"/>
                      <w:szCs w:val="21"/>
                    </w:rPr>
                    <w:t>考核频次</w:t>
                  </w:r>
                </w:p>
              </w:tc>
              <w:tc>
                <w:tcPr>
                  <w:tcW w:w="3372" w:type="dxa"/>
                </w:tcPr>
                <w:p>
                  <w:pPr>
                    <w:widowControl/>
                    <w:spacing w:before="40"/>
                    <w:jc w:val="left"/>
                    <w:rPr>
                      <w:color w:val="000000"/>
                      <w:sz w:val="21"/>
                      <w:szCs w:val="21"/>
                    </w:rPr>
                  </w:pPr>
                  <w:r>
                    <w:rPr>
                      <w:rFonts w:hint="eastAsia"/>
                      <w:color w:val="000000"/>
                      <w:sz w:val="21"/>
                      <w:szCs w:val="21"/>
                    </w:rPr>
                    <w:t>计算方法</w:t>
                  </w:r>
                </w:p>
              </w:tc>
              <w:tc>
                <w:tcPr>
                  <w:tcW w:w="2444" w:type="dxa"/>
                </w:tcPr>
                <w:p>
                  <w:pPr>
                    <w:widowControl/>
                    <w:spacing w:before="40"/>
                    <w:jc w:val="left"/>
                    <w:rPr>
                      <w:color w:val="000000"/>
                      <w:sz w:val="21"/>
                      <w:szCs w:val="21"/>
                    </w:rPr>
                  </w:pPr>
                  <w:r>
                    <w:rPr>
                      <w:rFonts w:hint="eastAsia"/>
                      <w:color w:val="000000"/>
                      <w:sz w:val="21"/>
                      <w:szCs w:val="21"/>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9" w:type="dxa"/>
                </w:tcPr>
                <w:p>
                  <w:pPr>
                    <w:adjustRightInd w:val="0"/>
                    <w:snapToGrid w:val="0"/>
                    <w:spacing w:line="360" w:lineRule="auto"/>
                    <w:rPr>
                      <w:color w:val="000000"/>
                      <w:sz w:val="21"/>
                      <w:szCs w:val="21"/>
                      <w:highlight w:val="cyan"/>
                    </w:rPr>
                  </w:pPr>
                  <w:r>
                    <w:rPr>
                      <w:rFonts w:hint="eastAsia" w:ascii="Times New Roman" w:hAnsi="Times New Roman" w:eastAsia="宋体" w:cs="Times New Roman"/>
                      <w:sz w:val="21"/>
                      <w:szCs w:val="21"/>
                      <w:lang w:eastAsia="zh-CN"/>
                    </w:rPr>
                    <w:t>软件研发按时完成率</w:t>
                  </w:r>
                  <w:r>
                    <w:rPr>
                      <w:sz w:val="21"/>
                      <w:szCs w:val="21"/>
                    </w:rPr>
                    <w:t>≥</w:t>
                  </w:r>
                  <w:r>
                    <w:rPr>
                      <w:color w:val="000000"/>
                      <w:sz w:val="21"/>
                      <w:szCs w:val="21"/>
                    </w:rPr>
                    <w:t>90%</w:t>
                  </w:r>
                </w:p>
              </w:tc>
              <w:tc>
                <w:tcPr>
                  <w:tcW w:w="1118" w:type="dxa"/>
                </w:tcPr>
                <w:p>
                  <w:pPr>
                    <w:widowControl/>
                    <w:spacing w:before="40"/>
                    <w:jc w:val="left"/>
                    <w:rPr>
                      <w:rFonts w:hint="eastAsia" w:eastAsia="宋体"/>
                      <w:color w:val="000000"/>
                      <w:sz w:val="21"/>
                      <w:szCs w:val="21"/>
                      <w:highlight w:val="cyan"/>
                      <w:lang w:val="en-US" w:eastAsia="zh-CN"/>
                    </w:rPr>
                  </w:pPr>
                  <w:r>
                    <w:rPr>
                      <w:rFonts w:hint="eastAsia"/>
                      <w:color w:val="000000"/>
                      <w:sz w:val="21"/>
                      <w:szCs w:val="21"/>
                      <w:highlight w:val="cyan"/>
                      <w:lang w:val="en-US" w:eastAsia="zh-CN"/>
                    </w:rPr>
                    <w:t>季度</w:t>
                  </w:r>
                </w:p>
              </w:tc>
              <w:tc>
                <w:tcPr>
                  <w:tcW w:w="3372" w:type="dxa"/>
                </w:tcPr>
                <w:p>
                  <w:pPr>
                    <w:widowControl/>
                    <w:spacing w:before="40"/>
                    <w:jc w:val="left"/>
                    <w:rPr>
                      <w:color w:val="000000"/>
                      <w:sz w:val="21"/>
                      <w:szCs w:val="21"/>
                      <w:highlight w:val="cyan"/>
                    </w:rPr>
                  </w:pPr>
                  <w:r>
                    <w:rPr>
                      <w:rFonts w:hint="eastAsia" w:cs="Times New Roman"/>
                      <w:sz w:val="21"/>
                      <w:szCs w:val="21"/>
                      <w:lang w:val="en-US" w:eastAsia="zh-CN"/>
                    </w:rPr>
                    <w:t>软件按时研发</w:t>
                  </w:r>
                  <w:r>
                    <w:rPr>
                      <w:rFonts w:hint="default" w:ascii="Times New Roman" w:hAnsi="Times New Roman" w:eastAsia="宋体" w:cs="Times New Roman"/>
                      <w:sz w:val="21"/>
                      <w:szCs w:val="21"/>
                    </w:rPr>
                    <w:t>合格数量/</w:t>
                  </w:r>
                  <w:r>
                    <w:rPr>
                      <w:rFonts w:hint="eastAsia" w:cs="Times New Roman"/>
                      <w:sz w:val="21"/>
                      <w:szCs w:val="21"/>
                      <w:lang w:val="en-US" w:eastAsia="zh-CN"/>
                    </w:rPr>
                    <w:t>软件开发</w:t>
                  </w:r>
                  <w:r>
                    <w:rPr>
                      <w:rFonts w:hint="default" w:ascii="Times New Roman" w:hAnsi="Times New Roman" w:eastAsia="宋体" w:cs="Times New Roman"/>
                      <w:sz w:val="21"/>
                      <w:szCs w:val="21"/>
                    </w:rPr>
                    <w:t>数量*100%</w:t>
                  </w:r>
                </w:p>
              </w:tc>
              <w:tc>
                <w:tcPr>
                  <w:tcW w:w="2444" w:type="dxa"/>
                </w:tcPr>
                <w:p>
                  <w:pPr>
                    <w:widowControl/>
                    <w:spacing w:before="40"/>
                    <w:jc w:val="left"/>
                    <w:rPr>
                      <w:rFonts w:hint="default" w:eastAsia="宋体"/>
                      <w:color w:val="000000"/>
                      <w:sz w:val="21"/>
                      <w:szCs w:val="21"/>
                      <w:highlight w:val="cyan"/>
                      <w:lang w:val="en-US" w:eastAsia="zh-CN"/>
                    </w:rPr>
                  </w:pPr>
                  <w:r>
                    <w:rPr>
                      <w:rFonts w:hint="eastAsia"/>
                      <w:color w:val="000000"/>
                      <w:sz w:val="21"/>
                      <w:szCs w:val="21"/>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tcPr>
                <w:p>
                  <w:pPr>
                    <w:widowControl/>
                    <w:spacing w:before="40"/>
                    <w:jc w:val="left"/>
                    <w:rPr>
                      <w:color w:val="000000"/>
                      <w:sz w:val="21"/>
                      <w:szCs w:val="21"/>
                      <w:highlight w:val="cyan"/>
                    </w:rPr>
                  </w:pPr>
                  <w:r>
                    <w:rPr>
                      <w:color w:val="000000"/>
                      <w:sz w:val="21"/>
                      <w:szCs w:val="21"/>
                    </w:rPr>
                    <w:t>合同履约率100%</w:t>
                  </w:r>
                </w:p>
              </w:tc>
              <w:tc>
                <w:tcPr>
                  <w:tcW w:w="1118" w:type="dxa"/>
                </w:tcPr>
                <w:p>
                  <w:pPr>
                    <w:widowControl/>
                    <w:spacing w:before="40"/>
                    <w:jc w:val="left"/>
                    <w:rPr>
                      <w:color w:val="000000"/>
                      <w:sz w:val="21"/>
                      <w:szCs w:val="21"/>
                      <w:highlight w:val="cyan"/>
                    </w:rPr>
                  </w:pPr>
                  <w:r>
                    <w:rPr>
                      <w:rFonts w:hint="eastAsia"/>
                      <w:color w:val="000000"/>
                      <w:sz w:val="21"/>
                      <w:szCs w:val="21"/>
                      <w:highlight w:val="cyan"/>
                      <w:lang w:val="en-US" w:eastAsia="zh-CN"/>
                    </w:rPr>
                    <w:t>季度</w:t>
                  </w:r>
                </w:p>
              </w:tc>
              <w:tc>
                <w:tcPr>
                  <w:tcW w:w="3372" w:type="dxa"/>
                </w:tcPr>
                <w:p>
                  <w:pPr>
                    <w:widowControl/>
                    <w:spacing w:before="40"/>
                    <w:jc w:val="left"/>
                    <w:rPr>
                      <w:color w:val="000000"/>
                      <w:sz w:val="21"/>
                      <w:szCs w:val="21"/>
                      <w:highlight w:val="cyan"/>
                    </w:rPr>
                  </w:pPr>
                  <w:r>
                    <w:rPr>
                      <w:rFonts w:hint="eastAsia" w:cs="Times New Roman"/>
                      <w:sz w:val="21"/>
                      <w:szCs w:val="21"/>
                      <w:lang w:val="en-US" w:eastAsia="zh-CN"/>
                    </w:rPr>
                    <w:t>履约合同</w:t>
                  </w:r>
                  <w:r>
                    <w:rPr>
                      <w:rFonts w:hint="default" w:ascii="Times New Roman" w:hAnsi="Times New Roman" w:eastAsia="宋体" w:cs="Times New Roman"/>
                      <w:sz w:val="21"/>
                      <w:szCs w:val="21"/>
                    </w:rPr>
                    <w:t>数量/</w:t>
                  </w:r>
                  <w:r>
                    <w:rPr>
                      <w:rFonts w:hint="eastAsia" w:cs="Times New Roman"/>
                      <w:sz w:val="21"/>
                      <w:szCs w:val="21"/>
                      <w:lang w:val="en-US" w:eastAsia="zh-CN"/>
                    </w:rPr>
                    <w:t>签订合同</w:t>
                  </w:r>
                  <w:r>
                    <w:rPr>
                      <w:rFonts w:hint="default" w:ascii="Times New Roman" w:hAnsi="Times New Roman" w:eastAsia="宋体" w:cs="Times New Roman"/>
                      <w:sz w:val="21"/>
                      <w:szCs w:val="21"/>
                    </w:rPr>
                    <w:t>总数量*100%</w:t>
                  </w:r>
                </w:p>
              </w:tc>
              <w:tc>
                <w:tcPr>
                  <w:tcW w:w="2444" w:type="dxa"/>
                </w:tcPr>
                <w:p>
                  <w:pPr>
                    <w:widowControl/>
                    <w:spacing w:before="40"/>
                    <w:jc w:val="left"/>
                    <w:rPr>
                      <w:color w:val="000000"/>
                      <w:sz w:val="21"/>
                      <w:szCs w:val="21"/>
                      <w:highlight w:val="cyan"/>
                    </w:rPr>
                  </w:pPr>
                  <w:r>
                    <w:rPr>
                      <w:rFonts w:hint="eastAsia"/>
                      <w:color w:val="000000"/>
                      <w:sz w:val="21"/>
                      <w:szCs w:val="21"/>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tcPr>
                <w:p>
                  <w:pPr>
                    <w:widowControl/>
                    <w:spacing w:before="40"/>
                    <w:jc w:val="left"/>
                    <w:rPr>
                      <w:color w:val="000000"/>
                      <w:sz w:val="21"/>
                      <w:szCs w:val="21"/>
                      <w:highlight w:val="cyan"/>
                    </w:rPr>
                  </w:pPr>
                  <w:r>
                    <w:rPr>
                      <w:rFonts w:hint="eastAsia"/>
                      <w:color w:val="000000"/>
                      <w:sz w:val="21"/>
                      <w:szCs w:val="21"/>
                      <w:lang w:eastAsia="zh-CN"/>
                    </w:rPr>
                    <w:t>网络安全</w:t>
                  </w:r>
                  <w:r>
                    <w:rPr>
                      <w:color w:val="000000"/>
                      <w:sz w:val="21"/>
                      <w:szCs w:val="21"/>
                    </w:rPr>
                    <w:t>服务</w:t>
                  </w:r>
                  <w:r>
                    <w:rPr>
                      <w:rFonts w:hint="eastAsia"/>
                      <w:color w:val="000000"/>
                      <w:sz w:val="21"/>
                      <w:szCs w:val="21"/>
                      <w:lang w:eastAsia="zh-CN"/>
                    </w:rPr>
                    <w:t>、数据处理服务</w:t>
                  </w:r>
                  <w:r>
                    <w:rPr>
                      <w:color w:val="000000"/>
                      <w:sz w:val="21"/>
                      <w:szCs w:val="21"/>
                    </w:rPr>
                    <w:t>验收合格率</w:t>
                  </w:r>
                  <w:r>
                    <w:rPr>
                      <w:sz w:val="21"/>
                      <w:szCs w:val="21"/>
                    </w:rPr>
                    <w:t>≥</w:t>
                  </w:r>
                  <w:r>
                    <w:rPr>
                      <w:color w:val="000000"/>
                      <w:sz w:val="21"/>
                      <w:szCs w:val="21"/>
                    </w:rPr>
                    <w:t>90%</w:t>
                  </w:r>
                </w:p>
              </w:tc>
              <w:tc>
                <w:tcPr>
                  <w:tcW w:w="1118" w:type="dxa"/>
                </w:tcPr>
                <w:p>
                  <w:pPr>
                    <w:widowControl/>
                    <w:spacing w:before="40"/>
                    <w:jc w:val="left"/>
                    <w:rPr>
                      <w:color w:val="000000"/>
                      <w:sz w:val="21"/>
                      <w:szCs w:val="21"/>
                      <w:highlight w:val="cyan"/>
                    </w:rPr>
                  </w:pPr>
                  <w:r>
                    <w:rPr>
                      <w:rFonts w:hint="eastAsia"/>
                      <w:color w:val="000000"/>
                      <w:sz w:val="21"/>
                      <w:szCs w:val="21"/>
                      <w:highlight w:val="cyan"/>
                      <w:lang w:val="en-US" w:eastAsia="zh-CN"/>
                    </w:rPr>
                    <w:t>季度</w:t>
                  </w:r>
                </w:p>
              </w:tc>
              <w:tc>
                <w:tcPr>
                  <w:tcW w:w="3372" w:type="dxa"/>
                </w:tcPr>
                <w:p>
                  <w:pPr>
                    <w:widowControl/>
                    <w:spacing w:before="40"/>
                    <w:jc w:val="left"/>
                    <w:rPr>
                      <w:color w:val="000000"/>
                      <w:sz w:val="21"/>
                      <w:szCs w:val="21"/>
                      <w:highlight w:val="cyan"/>
                    </w:rPr>
                  </w:pPr>
                  <w:r>
                    <w:rPr>
                      <w:rFonts w:hint="eastAsia" w:cs="Times New Roman"/>
                      <w:sz w:val="21"/>
                      <w:szCs w:val="21"/>
                      <w:lang w:val="en-US" w:eastAsia="zh-CN"/>
                    </w:rPr>
                    <w:t>服务验收</w:t>
                  </w:r>
                  <w:r>
                    <w:rPr>
                      <w:rFonts w:hint="default" w:ascii="Times New Roman" w:hAnsi="Times New Roman" w:eastAsia="宋体" w:cs="Times New Roman"/>
                      <w:sz w:val="21"/>
                      <w:szCs w:val="21"/>
                    </w:rPr>
                    <w:t>合格数量/</w:t>
                  </w:r>
                  <w:r>
                    <w:rPr>
                      <w:rFonts w:hint="eastAsia" w:cs="Times New Roman"/>
                      <w:sz w:val="21"/>
                      <w:szCs w:val="21"/>
                      <w:lang w:val="en-US" w:eastAsia="zh-CN"/>
                    </w:rPr>
                    <w:t>服务</w:t>
                  </w:r>
                  <w:r>
                    <w:rPr>
                      <w:rFonts w:hint="default" w:ascii="Times New Roman" w:hAnsi="Times New Roman" w:eastAsia="宋体" w:cs="Times New Roman"/>
                      <w:sz w:val="21"/>
                      <w:szCs w:val="21"/>
                    </w:rPr>
                    <w:t>项目数量*100%</w:t>
                  </w:r>
                </w:p>
              </w:tc>
              <w:tc>
                <w:tcPr>
                  <w:tcW w:w="2444" w:type="dxa"/>
                </w:tcPr>
                <w:p>
                  <w:pPr>
                    <w:widowControl/>
                    <w:spacing w:before="40"/>
                    <w:jc w:val="left"/>
                    <w:rPr>
                      <w:color w:val="000000"/>
                      <w:sz w:val="21"/>
                      <w:szCs w:val="21"/>
                      <w:highlight w:val="cyan"/>
                    </w:rPr>
                  </w:pPr>
                  <w:r>
                    <w:rPr>
                      <w:rFonts w:hint="eastAsia"/>
                      <w:color w:val="000000"/>
                      <w:sz w:val="21"/>
                      <w:szCs w:val="21"/>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tcPr>
                <w:p>
                  <w:pPr>
                    <w:widowControl/>
                    <w:spacing w:before="40"/>
                    <w:jc w:val="left"/>
                    <w:rPr>
                      <w:color w:val="000000"/>
                      <w:sz w:val="21"/>
                      <w:szCs w:val="21"/>
                      <w:highlight w:val="cyan"/>
                    </w:rPr>
                  </w:pPr>
                  <w:r>
                    <w:rPr>
                      <w:sz w:val="21"/>
                      <w:szCs w:val="21"/>
                    </w:rPr>
                    <w:t>处理顾客反馈信息率和售后服务100%</w:t>
                  </w:r>
                </w:p>
              </w:tc>
              <w:tc>
                <w:tcPr>
                  <w:tcW w:w="1118" w:type="dxa"/>
                </w:tcPr>
                <w:p>
                  <w:pPr>
                    <w:widowControl/>
                    <w:spacing w:before="40"/>
                    <w:jc w:val="left"/>
                    <w:rPr>
                      <w:color w:val="000000"/>
                      <w:sz w:val="21"/>
                      <w:szCs w:val="21"/>
                      <w:highlight w:val="cyan"/>
                    </w:rPr>
                  </w:pPr>
                  <w:r>
                    <w:rPr>
                      <w:rFonts w:hint="eastAsia"/>
                      <w:color w:val="000000"/>
                      <w:sz w:val="21"/>
                      <w:szCs w:val="21"/>
                      <w:highlight w:val="cyan"/>
                      <w:lang w:val="en-US" w:eastAsia="zh-CN"/>
                    </w:rPr>
                    <w:t>季度</w:t>
                  </w:r>
                </w:p>
              </w:tc>
              <w:tc>
                <w:tcPr>
                  <w:tcW w:w="3372" w:type="dxa"/>
                </w:tcPr>
                <w:p>
                  <w:pPr>
                    <w:widowControl/>
                    <w:spacing w:before="40"/>
                    <w:jc w:val="left"/>
                    <w:rPr>
                      <w:color w:val="000000"/>
                      <w:sz w:val="21"/>
                      <w:szCs w:val="21"/>
                      <w:highlight w:val="cyan"/>
                    </w:rPr>
                  </w:pPr>
                  <w:r>
                    <w:rPr>
                      <w:rFonts w:hint="default" w:ascii="Times New Roman" w:hAnsi="Times New Roman" w:eastAsia="宋体" w:cs="Times New Roman"/>
                      <w:sz w:val="21"/>
                      <w:szCs w:val="21"/>
                    </w:rPr>
                    <w:t>及时处理信息数量/客户总反馈信息数量*100%</w:t>
                  </w:r>
                </w:p>
              </w:tc>
              <w:tc>
                <w:tcPr>
                  <w:tcW w:w="2444" w:type="dxa"/>
                </w:tcPr>
                <w:p>
                  <w:pPr>
                    <w:widowControl/>
                    <w:spacing w:before="40"/>
                    <w:jc w:val="left"/>
                    <w:rPr>
                      <w:color w:val="000000"/>
                      <w:sz w:val="21"/>
                      <w:szCs w:val="21"/>
                      <w:highlight w:val="cyan"/>
                    </w:rPr>
                  </w:pPr>
                  <w:r>
                    <w:rPr>
                      <w:rFonts w:hint="eastAsia"/>
                      <w:color w:val="000000"/>
                      <w:sz w:val="21"/>
                      <w:szCs w:val="21"/>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9" w:type="dxa"/>
                </w:tcPr>
                <w:p>
                  <w:pPr>
                    <w:widowControl/>
                    <w:spacing w:before="40"/>
                    <w:jc w:val="left"/>
                    <w:rPr>
                      <w:color w:val="000000"/>
                      <w:sz w:val="21"/>
                      <w:szCs w:val="21"/>
                      <w:highlight w:val="cyan"/>
                    </w:rPr>
                  </w:pPr>
                  <w:r>
                    <w:rPr>
                      <w:color w:val="000000"/>
                      <w:sz w:val="21"/>
                      <w:szCs w:val="21"/>
                    </w:rPr>
                    <w:t>顾客满意度</w:t>
                  </w:r>
                  <w:r>
                    <w:rPr>
                      <w:sz w:val="21"/>
                      <w:szCs w:val="21"/>
                    </w:rPr>
                    <w:t>≥</w:t>
                  </w:r>
                  <w:r>
                    <w:rPr>
                      <w:color w:val="000000"/>
                      <w:sz w:val="21"/>
                      <w:szCs w:val="21"/>
                    </w:rPr>
                    <w:t>90%</w:t>
                  </w:r>
                </w:p>
              </w:tc>
              <w:tc>
                <w:tcPr>
                  <w:tcW w:w="1118" w:type="dxa"/>
                </w:tcPr>
                <w:p>
                  <w:pPr>
                    <w:widowControl/>
                    <w:spacing w:before="40"/>
                    <w:jc w:val="left"/>
                    <w:rPr>
                      <w:color w:val="000000"/>
                      <w:sz w:val="21"/>
                      <w:szCs w:val="21"/>
                      <w:highlight w:val="cyan"/>
                    </w:rPr>
                  </w:pPr>
                  <w:r>
                    <w:rPr>
                      <w:rFonts w:hint="eastAsia"/>
                      <w:color w:val="000000"/>
                      <w:sz w:val="21"/>
                      <w:szCs w:val="21"/>
                      <w:highlight w:val="cyan"/>
                      <w:lang w:val="en-US" w:eastAsia="zh-CN"/>
                    </w:rPr>
                    <w:t>季度</w:t>
                  </w:r>
                </w:p>
              </w:tc>
              <w:tc>
                <w:tcPr>
                  <w:tcW w:w="3372" w:type="dxa"/>
                </w:tcPr>
                <w:p>
                  <w:pPr>
                    <w:widowControl/>
                    <w:spacing w:before="40"/>
                    <w:jc w:val="left"/>
                    <w:rPr>
                      <w:color w:val="000000"/>
                      <w:sz w:val="21"/>
                      <w:szCs w:val="21"/>
                      <w:highlight w:val="cyan"/>
                    </w:rPr>
                  </w:pPr>
                  <w:r>
                    <w:rPr>
                      <w:rFonts w:hint="default" w:ascii="Times New Roman" w:hAnsi="Times New Roman" w:eastAsia="宋体" w:cs="Times New Roman"/>
                      <w:sz w:val="21"/>
                      <w:szCs w:val="21"/>
                    </w:rPr>
                    <w:t>满意度测试分数/测试总分数*100%</w:t>
                  </w:r>
                </w:p>
              </w:tc>
              <w:tc>
                <w:tcPr>
                  <w:tcW w:w="2444" w:type="dxa"/>
                </w:tcPr>
                <w:p>
                  <w:pPr>
                    <w:widowControl/>
                    <w:spacing w:before="40"/>
                    <w:jc w:val="left"/>
                    <w:rPr>
                      <w:rFonts w:hint="default" w:eastAsia="宋体"/>
                      <w:color w:val="000000"/>
                      <w:sz w:val="21"/>
                      <w:szCs w:val="21"/>
                      <w:highlight w:val="cyan"/>
                      <w:lang w:val="en-US" w:eastAsia="zh-CN"/>
                    </w:rPr>
                  </w:pPr>
                  <w:r>
                    <w:rPr>
                      <w:rFonts w:hint="eastAsia"/>
                      <w:color w:val="000000"/>
                      <w:sz w:val="21"/>
                      <w:szCs w:val="21"/>
                      <w:highlight w:val="cyan"/>
                      <w:lang w:val="en-US" w:eastAsia="zh-CN"/>
                    </w:rPr>
                    <w:t>98%</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w:t>
            </w:r>
            <w:r>
              <w:rPr>
                <w:rFonts w:hint="eastAsia"/>
                <w:lang w:val="en-US" w:eastAsia="zh-CN"/>
              </w:rPr>
              <w:t>办公室1</w:t>
            </w:r>
            <w:r>
              <w:rPr>
                <w:rFonts w:hint="eastAsia"/>
              </w:rPr>
              <w:t>个；</w:t>
            </w:r>
            <w:r>
              <w:rPr>
                <w:rFonts w:hint="eastAsia"/>
                <w:lang w:val="en-US" w:eastAsia="zh-CN"/>
              </w:rPr>
              <w:t>机</w:t>
            </w:r>
            <w:r>
              <w:rPr>
                <w:rFonts w:hint="eastAsia"/>
              </w:rPr>
              <w:t>房</w:t>
            </w:r>
            <w:r>
              <w:rPr>
                <w:rFonts w:hint="eastAsia"/>
                <w:lang w:val="en-US" w:eastAsia="zh-CN"/>
              </w:rPr>
              <w:t>1</w:t>
            </w:r>
            <w:r>
              <w:rPr>
                <w:rFonts w:hint="eastAsia"/>
              </w:rPr>
              <w:t>个；</w:t>
            </w:r>
            <w:r>
              <w:rPr>
                <w:rFonts w:hint="eastAsia"/>
                <w:lang w:val="en-US" w:eastAsia="zh-CN"/>
              </w:rPr>
              <w:t>会议室1</w:t>
            </w:r>
            <w:r>
              <w:rPr>
                <w:rFonts w:hint="eastAsia"/>
              </w:rPr>
              <w:t>个；</w:t>
            </w:r>
          </w:p>
          <w:p>
            <w:pPr>
              <w:shd w:val="clear" w:color="auto" w:fill="C7DAF1" w:themeFill="text2" w:themeFillTint="32"/>
              <w:rPr>
                <w:rFonts w:hint="eastAsia"/>
                <w:u w:val="single"/>
                <w:lang w:val="en-US" w:eastAsia="zh-CN"/>
              </w:rPr>
            </w:pPr>
            <w:r>
              <w:rPr>
                <w:rFonts w:hint="eastAsia"/>
              </w:rPr>
              <w:t>主要生产设备有：</w:t>
            </w:r>
            <w:r>
              <w:rPr>
                <w:rFonts w:hint="eastAsia"/>
                <w:u w:val="single"/>
                <w:lang w:val="en-US" w:eastAsia="zh-CN"/>
              </w:rPr>
              <w:t>电脑、服务器、硬盘、开发软件</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测试软件</w:t>
            </w:r>
            <w:r>
              <w:rPr>
                <w:rFonts w:hint="eastAsia"/>
                <w:lang w:eastAsia="zh-CN"/>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lang w:val="en-US" w:eastAsia="zh-CN"/>
              </w:rPr>
            </w:pPr>
            <w:r>
              <w:rPr>
                <w:rFonts w:hint="eastAsia"/>
              </w:rPr>
              <w:t>审核期间内设计和开发新产品/项目名称：</w:t>
            </w:r>
            <w:r>
              <w:rPr>
                <w:rFonts w:eastAsiaTheme="minorEastAsia"/>
                <w:szCs w:val="21"/>
              </w:rPr>
              <w:t>API</w:t>
            </w:r>
            <w:r>
              <w:rPr>
                <w:rFonts w:hint="eastAsia" w:eastAsiaTheme="minorEastAsia"/>
                <w:szCs w:val="21"/>
              </w:rPr>
              <w:t>安全治理平台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238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tcPr>
                <w:p>
                  <w:pPr>
                    <w:shd w:val="clear" w:color="auto" w:fill="C7DAF1" w:themeFill="text2" w:themeFillTint="32"/>
                    <w:jc w:val="left"/>
                  </w:pPr>
                  <w:r>
                    <w:rPr>
                      <w:rFonts w:hint="eastAsia"/>
                    </w:rPr>
                    <w:t>产品/服务名称</w:t>
                  </w:r>
                </w:p>
              </w:tc>
              <w:tc>
                <w:tcPr>
                  <w:tcW w:w="238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tcPr>
                <w:p>
                  <w:pPr>
                    <w:shd w:val="clear" w:color="auto" w:fill="C7DAF1" w:themeFill="text2" w:themeFillTint="32"/>
                    <w:jc w:val="left"/>
                  </w:pPr>
                  <w:r>
                    <w:rPr>
                      <w:rFonts w:hint="eastAsia" w:eastAsiaTheme="minorEastAsia"/>
                      <w:szCs w:val="21"/>
                      <w:lang w:val="en-US" w:eastAsia="zh-CN"/>
                    </w:rPr>
                    <w:t>信息安全软件开发、数据处理服务、网络安全系统运维服务</w:t>
                  </w:r>
                </w:p>
              </w:tc>
              <w:tc>
                <w:tcPr>
                  <w:tcW w:w="2385" w:type="dxa"/>
                </w:tcPr>
                <w:p>
                  <w:pPr>
                    <w:shd w:val="clear" w:color="auto" w:fill="C7DAF1" w:themeFill="text2" w:themeFillTint="32"/>
                    <w:jc w:val="left"/>
                    <w:rPr>
                      <w:rFonts w:hint="eastAsia" w:eastAsia="宋体"/>
                      <w:lang w:val="en-US" w:eastAsia="zh-CN"/>
                    </w:rPr>
                  </w:pPr>
                  <w:r>
                    <w:rPr>
                      <w:rFonts w:hint="eastAsia" w:eastAsiaTheme="minorEastAsia"/>
                      <w:szCs w:val="21"/>
                      <w:lang w:val="en-US" w:eastAsia="zh-CN"/>
                    </w:rPr>
                    <w:t>需求分析、数据处理、网络安全运维服务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功能、性能</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软件开发</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r>
              <w:rPr>
                <w:rFonts w:hint="eastAsia" w:eastAsiaTheme="minorEastAsia"/>
                <w:b/>
                <w:bCs/>
                <w:color w:val="auto"/>
                <w:szCs w:val="21"/>
                <w:highlight w:val="none"/>
                <w:u w:val="single"/>
                <w:lang w:val="en-US" w:eastAsia="zh-CN"/>
              </w:rPr>
              <w:t>未提供对需求分析进行了确认的证据</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rPr>
                <w:rFonts w:hint="eastAsia"/>
              </w:rPr>
            </w:pPr>
            <w:r>
              <w:rPr>
                <w:rFonts w:hint="eastAsia"/>
              </w:rPr>
              <w:t>针对顾客不满意的问题进行了分析和改进。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10-11</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26" w:name="_GoBack"/>
            <w:bookmarkEnd w:id="26"/>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 w:name="KSO_WPS_MARK_KEY" w:val="cbf68360-2560-4c5c-9fd5-264851c73a71"/>
  </w:docVars>
  <w:rsids>
    <w:rsidRoot w:val="00000000"/>
    <w:rsid w:val="047373A0"/>
    <w:rsid w:val="06F32700"/>
    <w:rsid w:val="4D397B3D"/>
    <w:rsid w:val="50347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rFonts w:eastAsia="楷体_GB2312"/>
      <w:sz w:val="32"/>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2022-12-30T07:33:57Z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