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b/>
          <w:sz w:val="22"/>
          <w:szCs w:val="22"/>
        </w:rPr>
        <w:t>MS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/>
                <w:b w:val="0"/>
                <w:bCs w:val="0"/>
                <w:kern w:val="0"/>
                <w:szCs w:val="21"/>
                <w:u w:val="none"/>
              </w:rPr>
              <w:t>上海太太乐食品有限公司无锡分公司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工艺流程：原料库-处理及加工--配料--成型-包装-成品库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电力、水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</w:t>
            </w:r>
            <w:bookmarkStart w:id="1" w:name="_GoBack"/>
            <w:bookmarkEnd w:id="1"/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；单位产品综合能耗kgce/t；单位产品能耗（电耗）GJ/t；单位产品水耗 t/t 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相关能源法律法规：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《中华人民共和国电力法》、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《中华人民共和国节约能源法》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《中华人民共和国可再生能源法》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《国家重点节能技术推广目录（1-6 批）》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电力变压器经济运行（GB13462-2008）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综合能耗计算通则GBT2589-2020</w:t>
            </w:r>
          </w:p>
          <w:p>
            <w:pP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用能单位能源计量器具配备与管理通则（GB/T17167-2006）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李丽英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李丽英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32F543E"/>
    <w:rsid w:val="240D2863"/>
    <w:rsid w:val="26480DCD"/>
    <w:rsid w:val="26A65B13"/>
    <w:rsid w:val="77072B05"/>
    <w:rsid w:val="7A1D3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iPriority="39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locked/>
    <w:uiPriority w:val="39"/>
    <w:pPr>
      <w:ind w:left="420"/>
      <w:jc w:val="left"/>
    </w:pPr>
    <w:rPr>
      <w:rFonts w:ascii="Calibri" w:hAnsi="Calibri" w:cs="Calibri"/>
      <w:i/>
      <w:iCs/>
      <w:sz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2023-02-23T04:40:36Z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