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6"/>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437"/>
        <w:gridCol w:w="16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内蒙古鄂尔多斯市潮脑梁煤炭有限公司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r>
              <w:rPr>
                <w:rFonts w:hint="eastAsia" w:ascii="宋体" w:hAnsi="宋体" w:eastAsia="宋体" w:cs="宋体"/>
                <w:b/>
                <w:szCs w:val="21"/>
              </w:rPr>
              <w:t>■</w:t>
            </w:r>
            <w:r>
              <w:rPr>
                <w:b/>
                <w:spacing w:val="-2"/>
                <w:szCs w:val="21"/>
              </w:rPr>
              <w:t>E</w:t>
            </w:r>
            <w:r>
              <w:rPr>
                <w:rFonts w:hint="eastAsia"/>
                <w:b/>
                <w:spacing w:val="-2"/>
                <w:szCs w:val="21"/>
              </w:rPr>
              <w:t>n</w:t>
            </w:r>
            <w:r>
              <w:rPr>
                <w:b/>
                <w:spacing w:val="-2"/>
                <w:szCs w:val="21"/>
              </w:rPr>
              <w:t>MS</w:t>
            </w:r>
            <w:bookmarkStart w:id="5" w:name="F勾选"/>
            <w:r>
              <w:rPr>
                <w:rFonts w:hint="eastAsia" w:cs="宋体"/>
                <w:b/>
                <w:szCs w:val="21"/>
              </w:rPr>
              <w:t>□</w:t>
            </w:r>
            <w:bookmarkEnd w:id="5"/>
            <w:r>
              <w:rPr>
                <w:rFonts w:hint="eastAsia" w:ascii="宋体" w:hAnsi="宋体"/>
                <w:szCs w:val="21"/>
              </w:rPr>
              <w:t xml:space="preserve">FSMS </w:t>
            </w:r>
            <w:bookmarkStart w:id="6" w:name="H勾选"/>
            <w:r>
              <w:rPr>
                <w:rFonts w:hint="eastAsia" w:cs="宋体"/>
                <w:b/>
                <w:szCs w:val="21"/>
              </w:rPr>
              <w:t>□</w:t>
            </w:r>
            <w:bookmarkEnd w:id="6"/>
            <w:r>
              <w:rPr>
                <w:rFonts w:hint="eastAsia" w:ascii="宋体" w:hAnsi="宋体"/>
                <w:szCs w:val="21"/>
              </w:rPr>
              <w:t>HACCP</w:t>
            </w:r>
          </w:p>
          <w:p>
            <w:bookmarkStart w:id="7" w:name="初审"/>
            <w:r>
              <w:rPr>
                <w:rFonts w:hint="eastAsia"/>
                <w:b/>
                <w:szCs w:val="21"/>
              </w:rPr>
              <w:t>■</w:t>
            </w:r>
            <w:bookmarkEnd w:id="7"/>
            <w:r>
              <w:rPr>
                <w:rFonts w:hint="eastAsia"/>
                <w:b/>
                <w:szCs w:val="21"/>
              </w:rPr>
              <w:t>初审</w:t>
            </w:r>
            <w:r>
              <w:rPr>
                <w:rFonts w:hint="eastAsia" w:ascii="宋体" w:hAnsi="宋体" w:eastAsia="宋体" w:cs="宋体"/>
                <w:b/>
                <w:szCs w:val="21"/>
              </w:rPr>
              <w:t>■</w:t>
            </w:r>
            <w:r>
              <w:rPr>
                <w:rFonts w:hint="eastAsia"/>
                <w:b/>
                <w:szCs w:val="21"/>
              </w:rPr>
              <w:sym w:font="Wingdings 2" w:char="00A3"/>
            </w:r>
            <w:r>
              <w:rPr>
                <w:rFonts w:hint="eastAsia"/>
                <w:b/>
                <w:szCs w:val="21"/>
              </w:rPr>
              <w:t xml:space="preserve">第( </w:t>
            </w:r>
            <w:r>
              <w:rPr>
                <w:rFonts w:hint="eastAsia"/>
                <w:b/>
                <w:szCs w:val="21"/>
                <w:lang w:val="en-US" w:eastAsia="zh-CN"/>
              </w:rPr>
              <w:t>二</w:t>
            </w:r>
            <w:r>
              <w:rPr>
                <w:rFonts w:hint="eastAsia"/>
                <w:b/>
                <w:szCs w:val="21"/>
              </w:rPr>
              <w:t xml:space="preserve"> )阶段审核</w:t>
            </w:r>
            <w:bookmarkStart w:id="8" w:name="再认证勾选"/>
            <w:r>
              <w:rPr>
                <w:rFonts w:hint="eastAsia"/>
                <w:b/>
                <w:szCs w:val="21"/>
              </w:rPr>
              <w:t>□</w:t>
            </w:r>
            <w:bookmarkEnd w:id="8"/>
            <w:r>
              <w:rPr>
                <w:rFonts w:hint="eastAsia"/>
                <w:b/>
                <w:szCs w:val="21"/>
              </w:rPr>
              <w:t>再认证</w:t>
            </w:r>
            <w:bookmarkStart w:id="9" w:name="监督勾选"/>
            <w:r>
              <w:rPr>
                <w:rFonts w:hint="eastAsia"/>
                <w:b/>
                <w:szCs w:val="21"/>
              </w:rPr>
              <w:t>□</w:t>
            </w:r>
            <w:bookmarkEnd w:id="9"/>
            <w:r>
              <w:rPr>
                <w:rFonts w:hint="eastAsia"/>
                <w:b/>
                <w:szCs w:val="21"/>
              </w:rPr>
              <w:t>监督（</w:t>
            </w:r>
            <w:bookmarkStart w:id="10" w:name="监督次数"/>
            <w:bookmarkEnd w:id="10"/>
            <w:r>
              <w:rPr>
                <w:rFonts w:hint="eastAsia"/>
                <w:b/>
                <w:szCs w:val="21"/>
              </w:rPr>
              <w:t>）次□证书转换</w:t>
            </w:r>
            <w:bookmarkStart w:id="11" w:name="特殊审核勾选"/>
            <w:r>
              <w:rPr>
                <w:rFonts w:hint="eastAsia"/>
                <w:b/>
                <w:szCs w:val="21"/>
              </w:rPr>
              <w:t>□</w:t>
            </w:r>
            <w:bookmarkEnd w:id="11"/>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38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164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7380"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提供的危险源辨识表无辨识时间。</w:t>
            </w:r>
          </w:p>
        </w:tc>
        <w:tc>
          <w:tcPr>
            <w:tcW w:w="1643" w:type="dxa"/>
            <w:tcBorders>
              <w:left w:val="single" w:color="auto" w:sz="4" w:space="0"/>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已整改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2" w:hRule="exact"/>
          <w:jc w:val="center"/>
        </w:trPr>
        <w:tc>
          <w:tcPr>
            <w:tcW w:w="900" w:type="dxa"/>
            <w:tcBorders>
              <w:right w:val="single" w:color="auto" w:sz="4" w:space="0"/>
            </w:tcBorders>
            <w:vAlign w:val="center"/>
          </w:tcPr>
          <w:p>
            <w:pPr>
              <w:jc w:val="center"/>
              <w:rPr>
                <w:rFonts w:hint="eastAsia"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w:t>
            </w:r>
          </w:p>
        </w:tc>
        <w:tc>
          <w:tcPr>
            <w:tcW w:w="7380" w:type="dxa"/>
            <w:gridSpan w:val="2"/>
            <w:tcBorders>
              <w:left w:val="single" w:color="auto" w:sz="4" w:space="0"/>
              <w:right w:val="single" w:color="auto" w:sz="4" w:space="0"/>
            </w:tcBorders>
            <w:vAlign w:val="center"/>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机电部作为节能管理的主责部门，未明确能源管理体系的职责和相关工作，如开展能源评审、确定能源基准、能源绩效参数等</w:t>
            </w:r>
          </w:p>
        </w:tc>
        <w:tc>
          <w:tcPr>
            <w:tcW w:w="1643" w:type="dxa"/>
            <w:tcBorders>
              <w:lef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5"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7380" w:type="dxa"/>
            <w:gridSpan w:val="2"/>
            <w:tcBorders>
              <w:left w:val="single" w:color="auto" w:sz="4" w:space="0"/>
              <w:right w:val="single" w:color="auto" w:sz="4" w:space="0"/>
            </w:tcBorders>
            <w:vAlign w:val="center"/>
          </w:tcPr>
          <w:p>
            <w:r>
              <w:rPr>
                <w:rFonts w:hint="eastAsia" w:ascii="Times New Roman" w:hAnsi="Times New Roman" w:eastAsia="宋体" w:cs="Times New Roman"/>
                <w:lang w:val="en-US" w:eastAsia="zh-CN"/>
              </w:rPr>
              <w:t>提供2022年6月10日</w:t>
            </w:r>
            <w:bookmarkStart w:id="12" w:name="_Toc384494458"/>
            <w:r>
              <w:rPr>
                <w:rFonts w:hint="eastAsia" w:ascii="Times New Roman" w:hAnsi="Times New Roman" w:eastAsia="宋体" w:cs="Times New Roman"/>
                <w:lang w:val="en-US" w:eastAsia="zh-CN"/>
              </w:rPr>
              <w:t>潮脑梁煤矿煤矿应急预案演练方案评估表</w:t>
            </w:r>
            <w:bookmarkEnd w:id="12"/>
            <w:r>
              <w:rPr>
                <w:rFonts w:hint="eastAsia" w:ascii="Times New Roman" w:hAnsi="Times New Roman" w:eastAsia="宋体" w:cs="Times New Roman"/>
                <w:lang w:val="en-US" w:eastAsia="zh-CN"/>
              </w:rPr>
              <w:t>，存在以下问题：1.未对协调组织情况和</w:t>
            </w:r>
            <w:r>
              <w:rPr>
                <w:rFonts w:hint="eastAsia" w:ascii="Times New Roman" w:hAnsi="Times New Roman" w:eastAsia="宋体" w:cs="Times New Roman"/>
                <w:highlight w:val="none"/>
                <w:lang w:val="en-US" w:eastAsia="zh-CN"/>
              </w:rPr>
              <w:t>实战效果评估</w:t>
            </w:r>
            <w:r>
              <w:rPr>
                <w:rFonts w:hint="eastAsia" w:ascii="Times New Roman" w:hAnsi="Times New Roman" w:eastAsia="宋体" w:cs="Times New Roman"/>
                <w:lang w:val="en-US" w:eastAsia="zh-CN"/>
              </w:rPr>
              <w:t>进行评审，2。存在问题及整改措施未提供相关证据。</w:t>
            </w:r>
          </w:p>
          <w:p/>
        </w:tc>
        <w:tc>
          <w:tcPr>
            <w:tcW w:w="1643" w:type="dxa"/>
            <w:tcBorders>
              <w:left w:val="single" w:color="auto" w:sz="4" w:space="0"/>
            </w:tcBorders>
            <w:vAlign w:val="center"/>
          </w:tcPr>
          <w:p>
            <w:pPr>
              <w:jc w:val="center"/>
              <w:rPr>
                <w:rFonts w:hint="default" w:eastAsia="宋体"/>
                <w:lang w:val="en-US" w:eastAsia="zh-CN"/>
              </w:rPr>
            </w:pPr>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1"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4</w:t>
            </w:r>
          </w:p>
        </w:tc>
        <w:tc>
          <w:tcPr>
            <w:tcW w:w="7380" w:type="dxa"/>
            <w:gridSpan w:val="2"/>
            <w:tcBorders>
              <w:left w:val="single" w:color="auto" w:sz="4" w:space="0"/>
              <w:right w:val="single" w:color="auto" w:sz="4" w:space="0"/>
            </w:tcBorders>
            <w:vAlign w:val="center"/>
          </w:tcPr>
          <w:p>
            <w:pPr>
              <w:pStyle w:val="13"/>
              <w:rPr>
                <w:rFonts w:hint="eastAsia" w:eastAsia="宋体"/>
                <w:lang w:val="en-US" w:eastAsia="zh-CN"/>
              </w:rPr>
            </w:pPr>
            <w:r>
              <w:rPr>
                <w:rFonts w:hint="eastAsia" w:ascii="Times New Roman" w:hAnsi="Times New Roman" w:eastAsia="宋体" w:cs="Times New Roman"/>
                <w:color w:val="auto"/>
                <w:spacing w:val="0"/>
                <w:kern w:val="2"/>
                <w:sz w:val="21"/>
                <w:szCs w:val="24"/>
                <w:lang w:val="en-US" w:eastAsia="zh-CN" w:bidi="ar-SA"/>
              </w:rPr>
              <w:t>企业的合格供方名录中未包含山河智能装备有限公司、东胜区成旺日用百货店公司的相关信息</w:t>
            </w:r>
            <w:r>
              <w:rPr>
                <w:rFonts w:hint="eastAsia" w:eastAsia="宋体" w:cs="Times New Roman"/>
                <w:color w:val="0000FF"/>
                <w:spacing w:val="0"/>
                <w:kern w:val="2"/>
                <w:sz w:val="21"/>
                <w:szCs w:val="22"/>
                <w:highlight w:val="none"/>
                <w:lang w:val="en-US" w:eastAsia="zh-CN" w:bidi="ar-SA"/>
              </w:rPr>
              <w:t>。</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8"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5</w:t>
            </w:r>
          </w:p>
        </w:tc>
        <w:tc>
          <w:tcPr>
            <w:tcW w:w="738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default" w:ascii="Times New Roman" w:hAnsi="Times New Roman" w:eastAsia="宋体" w:cs="Times New Roman"/>
                <w:lang w:val="en-US" w:eastAsia="zh-CN"/>
              </w:rPr>
            </w:pPr>
            <w:r>
              <w:rPr>
                <w:rFonts w:hint="eastAsia"/>
                <w:lang w:val="en-US" w:eastAsia="zh-CN"/>
              </w:rPr>
              <w:t>企业为重点用能单位，未提供能源管理负责人在当地管理节能工作的部门或相关部门进行备案的证据。</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2"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6</w:t>
            </w:r>
          </w:p>
        </w:tc>
        <w:tc>
          <w:tcPr>
            <w:tcW w:w="7380"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企业2022年使用新鲜水：1955009吨；</w:t>
            </w:r>
            <w:r>
              <w:rPr>
                <w:rFonts w:hint="eastAsia" w:ascii="Times New Roman" w:hAnsi="Times New Roman" w:cs="Times New Roman"/>
                <w:lang w:val="en-US" w:eastAsia="zh-CN"/>
              </w:rPr>
              <w:t>超出取水证采水量的限额要求（49.95万立方米/年，没有整改措施。</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7380"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公司法律法规的识别欠完整，缺少生产安全事故应急条例、中华人民共和国矿山安全法等</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8</w:t>
            </w:r>
          </w:p>
        </w:tc>
        <w:tc>
          <w:tcPr>
            <w:tcW w:w="738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lang w:val="en-US" w:eastAsia="zh-CN"/>
              </w:rPr>
            </w:pPr>
            <w:r>
              <w:rPr>
                <w:rFonts w:hint="eastAsia"/>
                <w:lang w:val="en-US" w:eastAsia="zh-CN"/>
              </w:rPr>
              <w:t>夜班检查，发现夜间车中照明不好，建议安装路灯；</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9</w:t>
            </w:r>
          </w:p>
        </w:tc>
        <w:tc>
          <w:tcPr>
            <w:tcW w:w="738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eastAsia"/>
                <w:lang w:val="en-US" w:eastAsia="zh-CN"/>
              </w:rPr>
            </w:pPr>
            <w:r>
              <w:rPr>
                <w:rFonts w:hint="eastAsia"/>
                <w:lang w:val="en-US" w:eastAsia="zh-CN"/>
              </w:rPr>
              <w:t>抽查车牌Z-210拉煤卡车，没有驾驶证件</w:t>
            </w:r>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2" w:hRule="exact"/>
          <w:jc w:val="center"/>
        </w:trPr>
        <w:tc>
          <w:tcPr>
            <w:tcW w:w="900" w:type="dxa"/>
            <w:tcBorders>
              <w:right w:val="single" w:color="auto" w:sz="4" w:space="0"/>
            </w:tcBorders>
            <w:vAlign w:val="center"/>
          </w:tcPr>
          <w:p>
            <w:pPr>
              <w:jc w:val="center"/>
              <w:rPr>
                <w:rFonts w:hint="default" w:eastAsia="宋体"/>
                <w:lang w:val="en-US" w:eastAsia="zh-CN"/>
              </w:rPr>
            </w:pPr>
            <w:r>
              <w:rPr>
                <w:rFonts w:hint="eastAsia"/>
                <w:lang w:val="en-US" w:eastAsia="zh-CN"/>
              </w:rPr>
              <w:t>10</w:t>
            </w:r>
          </w:p>
        </w:tc>
        <w:tc>
          <w:tcPr>
            <w:tcW w:w="738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outlineLvl w:val="9"/>
              <w:rPr>
                <w:rFonts w:hint="default"/>
                <w:lang w:val="en-US" w:eastAsia="zh-CN"/>
              </w:rPr>
            </w:pPr>
            <w:r>
              <w:rPr>
                <w:rFonts w:hint="eastAsia"/>
                <w:lang w:val="en-US" w:eastAsia="zh-CN"/>
              </w:rPr>
              <w:t>危废库没有安装风帽</w:t>
            </w:r>
            <w:bookmarkStart w:id="13" w:name="_GoBack"/>
            <w:bookmarkEnd w:id="13"/>
          </w:p>
        </w:tc>
        <w:tc>
          <w:tcPr>
            <w:tcW w:w="1643" w:type="dxa"/>
            <w:tcBorders>
              <w:left w:val="single" w:color="auto" w:sz="4" w:space="0"/>
            </w:tcBorders>
            <w:vAlign w:val="center"/>
          </w:tcPr>
          <w:p>
            <w:r>
              <w:rPr>
                <w:rFonts w:hint="eastAsia"/>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pPr>
          </w:p>
        </w:tc>
        <w:tc>
          <w:tcPr>
            <w:tcW w:w="7380" w:type="dxa"/>
            <w:gridSpan w:val="2"/>
            <w:tcBorders>
              <w:left w:val="single" w:color="auto" w:sz="4" w:space="0"/>
              <w:right w:val="single" w:color="auto" w:sz="4" w:space="0"/>
            </w:tcBorders>
            <w:vAlign w:val="center"/>
          </w:tcPr>
          <w:p/>
        </w:tc>
        <w:tc>
          <w:tcPr>
            <w:tcW w:w="164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pPr>
          </w:p>
        </w:tc>
        <w:tc>
          <w:tcPr>
            <w:tcW w:w="7380" w:type="dxa"/>
            <w:gridSpan w:val="2"/>
            <w:tcBorders>
              <w:left w:val="single" w:color="auto" w:sz="4" w:space="0"/>
              <w:right w:val="single" w:color="auto" w:sz="4" w:space="0"/>
            </w:tcBorders>
            <w:vAlign w:val="center"/>
          </w:tcPr>
          <w:p/>
        </w:tc>
        <w:tc>
          <w:tcPr>
            <w:tcW w:w="164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pPr>
          </w:p>
        </w:tc>
        <w:tc>
          <w:tcPr>
            <w:tcW w:w="7380" w:type="dxa"/>
            <w:gridSpan w:val="2"/>
            <w:tcBorders>
              <w:left w:val="single" w:color="auto" w:sz="4" w:space="0"/>
              <w:right w:val="single" w:color="auto" w:sz="4" w:space="0"/>
            </w:tcBorders>
            <w:vAlign w:val="center"/>
          </w:tcPr>
          <w:p/>
        </w:tc>
        <w:tc>
          <w:tcPr>
            <w:tcW w:w="164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sz w:val="18"/>
      </w:rPr>
    </w:pPr>
    <w:r>
      <w:drawing>
        <wp:anchor distT="0" distB="0" distL="114300" distR="114300" simplePos="0" relativeHeight="251662336"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94pt;margin-top:11.35pt;height:19.9pt;width:95.7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10"/>
        <w:rFonts w:hint="default"/>
        <w:sz w:val="18"/>
      </w:rPr>
      <w:t>北京国标联合认证有限公司</w:t>
    </w:r>
    <w:r>
      <w:rPr>
        <w:rStyle w:val="10"/>
        <w:rFonts w:hint="default"/>
        <w:sz w:val="18"/>
      </w:rPr>
      <w:tab/>
    </w:r>
    <w:r>
      <w:rPr>
        <w:rStyle w:val="10"/>
        <w:rFonts w:hint="default"/>
        <w:sz w:val="18"/>
      </w:rPr>
      <w:tab/>
    </w:r>
    <w:r>
      <w:rPr>
        <w:rStyle w:val="10"/>
        <w:rFonts w:hint="default"/>
        <w:sz w:val="18"/>
      </w:rPr>
      <w:tab/>
    </w:r>
  </w:p>
  <w:p>
    <w:pPr>
      <w:pStyle w:val="4"/>
      <w:pBdr>
        <w:bottom w:val="single" w:color="auto" w:sz="4" w:space="1"/>
      </w:pBdr>
      <w:spacing w:line="320" w:lineRule="exact"/>
      <w:ind w:firstLine="727" w:firstLineChars="449"/>
      <w:jc w:val="left"/>
    </w:pPr>
    <w:r>
      <w:rPr>
        <w:rStyle w:val="10"/>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194F04"/>
    <w:rsid w:val="06BD1C5E"/>
    <w:rsid w:val="11926834"/>
    <w:rsid w:val="13695A24"/>
    <w:rsid w:val="14414ACD"/>
    <w:rsid w:val="149A64FD"/>
    <w:rsid w:val="15B4037B"/>
    <w:rsid w:val="20783424"/>
    <w:rsid w:val="29783FFA"/>
    <w:rsid w:val="2ADA76CC"/>
    <w:rsid w:val="477B258A"/>
    <w:rsid w:val="49AE684E"/>
    <w:rsid w:val="4B411228"/>
    <w:rsid w:val="4B746E05"/>
    <w:rsid w:val="5C366D3B"/>
    <w:rsid w:val="68CA7D5C"/>
    <w:rsid w:val="72CA1B69"/>
    <w:rsid w:val="75943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仿宋_GB2312" w:cs="Times New Roman"/>
      <w:color w:val="000000"/>
      <w:kern w:val="2"/>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kern w:val="2"/>
      <w:sz w:val="18"/>
      <w:szCs w:val="18"/>
    </w:rPr>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 w:type="paragraph" w:customStyle="1" w:styleId="12">
    <w:name w:val="样式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1</TotalTime>
  <ScaleCrop>false</ScaleCrop>
  <LinksUpToDate>false</LinksUpToDate>
  <CharactersWithSpaces>192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2023-01-16T02:16:26Z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