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内蒙古鄂尔多斯市潮脑梁煤炭有限公司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专业小类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02.01.00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党明博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02.01.00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土石方剥离作业：</w:t>
            </w:r>
            <w:r>
              <w:rPr>
                <w:rFonts w:hint="eastAsia"/>
                <w:b/>
                <w:sz w:val="20"/>
                <w:szCs w:val="22"/>
              </w:rPr>
              <w:t>钻孔------爆破------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采装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排土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煤炭开采作业：采装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分类堆放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爆破、剥离、采矿；</w:t>
            </w:r>
            <w:r>
              <w:rPr>
                <w:rFonts w:hint="eastAsia"/>
                <w:b/>
                <w:sz w:val="20"/>
                <w:lang w:val="en-US" w:eastAsia="zh-CN"/>
              </w:rPr>
              <w:t>主要控制参数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名称：爆破——位置、钻孔孔径及深度、布孔情况、用药量、爆破效果；剥离——设备选型、剥离量（土、岩比例）、运输距离；采煤——设备选型、采煤量、可采煤层情况、各煤层厚度、运输距离；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需要确认的重点过程：爆破。该过程外包。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中华人品共和国产品质量法；</w:t>
            </w:r>
          </w:p>
          <w:p>
            <w:pPr>
              <w:pStyle w:val="9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中华人民共和国计量法；</w:t>
            </w:r>
          </w:p>
          <w:p>
            <w:pPr>
              <w:pStyle w:val="9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中华人民共和国标准化法</w:t>
            </w:r>
            <w:r>
              <w:rPr>
                <w:rFonts w:hint="eastAsia"/>
                <w:b/>
                <w:sz w:val="20"/>
                <w:lang w:val="en-US" w:eastAsia="zh-CN"/>
              </w:rPr>
              <w:t>；</w:t>
            </w:r>
          </w:p>
          <w:p>
            <w:pPr>
              <w:pStyle w:val="9"/>
              <w:rPr>
                <w:rFonts w:hint="default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质量管理体系要求</w:t>
            </w:r>
          </w:p>
          <w:p>
            <w:pPr>
              <w:pStyle w:val="9"/>
              <w:rPr>
                <w:rFonts w:hint="default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中华人民共和国劳动法</w:t>
            </w:r>
            <w:r>
              <w:rPr>
                <w:rFonts w:hint="eastAsia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露天采煤的特点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92710</wp:posOffset>
                  </wp:positionV>
                  <wp:extent cx="770890" cy="346075"/>
                  <wp:effectExtent l="0" t="0" r="3810" b="952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102870</wp:posOffset>
                  </wp:positionV>
                  <wp:extent cx="982345" cy="306070"/>
                  <wp:effectExtent l="0" t="0" r="0" b="11430"/>
                  <wp:wrapSquare wrapText="bothSides"/>
                  <wp:docPr id="3" name="图片 2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内蒙古鄂尔多斯市潮脑梁煤炭有限公司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专业小类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02.01.00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党明博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02.01.00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土石方剥离作业：</w:t>
            </w:r>
            <w:r>
              <w:rPr>
                <w:rFonts w:hint="eastAsia"/>
                <w:b/>
                <w:sz w:val="20"/>
                <w:szCs w:val="22"/>
              </w:rPr>
              <w:t>钻孔------爆破------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采装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排土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煤炭开采作业：采装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分类堆放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</w:rPr>
            </w:pPr>
          </w:p>
          <w:tbl>
            <w:tblPr>
              <w:tblStyle w:val="6"/>
              <w:tblW w:w="7461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41"/>
              <w:gridCol w:w="382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3641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jc w:val="center"/>
                    <w:textAlignment w:val="auto"/>
                    <w:rPr>
                      <w:rFonts w:hint="eastAsia" w:ascii="宋体" w:eastAsia="宋体"/>
                      <w:lang w:eastAsia="zh-CN"/>
                    </w:rPr>
                  </w:pPr>
                  <w:r>
                    <w:rPr>
                      <w:rFonts w:hint="eastAsia" w:ascii="宋体" w:hAnsi="Times New Roman" w:cs="Times New Roman"/>
                      <w:szCs w:val="22"/>
                      <w:lang w:val="en-US" w:eastAsia="zh-CN"/>
                    </w:rPr>
                    <w:t>重要环境因素</w:t>
                  </w:r>
                </w:p>
              </w:tc>
              <w:tc>
                <w:tcPr>
                  <w:tcW w:w="3820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jc w:val="center"/>
                    <w:textAlignment w:val="auto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控制措施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3641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3820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7" w:hRule="atLeast"/>
                <w:jc w:val="center"/>
              </w:trPr>
              <w:tc>
                <w:tcPr>
                  <w:tcW w:w="3641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Style w:val="14"/>
                      <w:sz w:val="21"/>
                      <w:szCs w:val="21"/>
                      <w:lang w:val="en-US" w:eastAsia="zh-CN" w:bidi="ar"/>
                    </w:rPr>
                    <w:t>办公固废（废弃打印纸、废弃包装物、废弃宣传册、硒鼓、墨盒等）</w:t>
                  </w:r>
                </w:p>
              </w:tc>
              <w:tc>
                <w:tcPr>
                  <w:tcW w:w="3820" w:type="dxa"/>
                  <w:tcBorders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固体废弃物应分类存放，</w:t>
                  </w: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废纸</w:t>
                  </w: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进行回收</w:t>
                  </w: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变卖</w:t>
                  </w: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、</w:t>
                  </w: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硒鼓和墨盒</w:t>
                  </w: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重复使用；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防疫物资由指定单位回收处理；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6" w:hRule="atLeast"/>
                <w:jc w:val="center"/>
              </w:trPr>
              <w:tc>
                <w:tcPr>
                  <w:tcW w:w="3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废矿物油、废油桶、废铅蓄电瓶等</w:t>
                  </w:r>
                </w:p>
              </w:tc>
              <w:tc>
                <w:tcPr>
                  <w:tcW w:w="3820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专业公司处置，制定应急预案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3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装载机、矿用卡车、单斗挖掘机</w:t>
                  </w:r>
                  <w:r>
                    <w:rPr>
                      <w:rStyle w:val="14"/>
                      <w:sz w:val="21"/>
                      <w:szCs w:val="21"/>
                      <w:lang w:val="en-US" w:eastAsia="zh-CN" w:bidi="ar"/>
                    </w:rPr>
                    <w:t>等设备运行噪声</w:t>
                  </w:r>
                </w:p>
              </w:tc>
              <w:tc>
                <w:tcPr>
                  <w:tcW w:w="3820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制度管理</w:t>
                  </w: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3" w:hRule="atLeast"/>
                <w:jc w:val="center"/>
              </w:trPr>
              <w:tc>
                <w:tcPr>
                  <w:tcW w:w="3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Style w:val="14"/>
                      <w:rFonts w:hint="eastAsia" w:ascii="宋体" w:hAnsi="宋体" w:cs="宋体"/>
                      <w:sz w:val="21"/>
                      <w:szCs w:val="21"/>
                      <w:lang w:val="en-US" w:eastAsia="zh-CN" w:bidi="ar"/>
                    </w:rPr>
                    <w:t>捕尘</w:t>
                  </w:r>
                  <w:r>
                    <w:rPr>
                      <w:rStyle w:val="14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和喷雾装置，煤场防风抑尘网</w:t>
                  </w:r>
                  <w:r>
                    <w:rPr>
                      <w:rStyle w:val="14"/>
                      <w:rFonts w:hint="eastAsia" w:ascii="宋体" w:hAnsi="宋体" w:cs="宋体"/>
                      <w:sz w:val="21"/>
                      <w:szCs w:val="21"/>
                      <w:lang w:val="en-US" w:eastAsia="zh-CN" w:bidi="ar"/>
                    </w:rPr>
                    <w:t>、封闭式煤棚</w:t>
                  </w:r>
                </w:p>
              </w:tc>
              <w:tc>
                <w:tcPr>
                  <w:tcW w:w="3820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设置</w:t>
                  </w: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抑尘装置，制度管理</w:t>
                  </w: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3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Style w:val="15"/>
                      <w:rFonts w:hint="eastAsia"/>
                      <w:sz w:val="21"/>
                      <w:szCs w:val="21"/>
                      <w:lang w:val="en-US" w:eastAsia="zh-CN" w:bidi="ar"/>
                    </w:rPr>
                    <w:t>采煤过程中发生</w:t>
                  </w:r>
                  <w:r>
                    <w:rPr>
                      <w:rStyle w:val="15"/>
                      <w:sz w:val="21"/>
                      <w:szCs w:val="21"/>
                      <w:lang w:val="en-US" w:eastAsia="zh-CN" w:bidi="ar"/>
                    </w:rPr>
                    <w:t>火灾、</w:t>
                  </w:r>
                  <w:r>
                    <w:rPr>
                      <w:rStyle w:val="15"/>
                      <w:rFonts w:hint="eastAsia"/>
                      <w:sz w:val="21"/>
                      <w:szCs w:val="21"/>
                      <w:lang w:val="en-US" w:eastAsia="zh-CN" w:bidi="ar"/>
                    </w:rPr>
                    <w:t>采空区</w:t>
                  </w:r>
                </w:p>
              </w:tc>
              <w:tc>
                <w:tcPr>
                  <w:tcW w:w="3820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设置消防设施，掌握消防设备使用方法，对电器线路进行检测、防止明火。</w:t>
                  </w: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针对采空区应进行超前钻探工作提前探明。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3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5"/>
                      <w:rFonts w:hint="default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5"/>
                      <w:rFonts w:hint="eastAsia"/>
                      <w:sz w:val="21"/>
                      <w:szCs w:val="21"/>
                      <w:lang w:val="en-US" w:eastAsia="zh-CN" w:bidi="ar"/>
                    </w:rPr>
                    <w:t>污水处理</w:t>
                  </w:r>
                </w:p>
              </w:tc>
              <w:tc>
                <w:tcPr>
                  <w:tcW w:w="3820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加强污水处理设施管理，加强监测，达标排放</w:t>
                  </w:r>
                </w:p>
              </w:tc>
            </w:tr>
          </w:tbl>
          <w:p>
            <w:pPr>
              <w:pStyle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中华人品共和国</w:t>
            </w:r>
            <w:r>
              <w:rPr>
                <w:rFonts w:hint="eastAsia" w:ascii="Times New Roman" w:hAnsi="Times New Roman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环境保护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法；</w:t>
            </w:r>
            <w:r>
              <w:rPr>
                <w:rFonts w:hint="eastAsia"/>
                <w:b/>
                <w:sz w:val="20"/>
                <w:lang w:val="en-US" w:eastAsia="zh-CN"/>
              </w:rPr>
              <w:t>中华人民共和国大气污染防治法；</w:t>
            </w:r>
            <w:r>
              <w:rPr>
                <w:rFonts w:hint="default"/>
                <w:b/>
                <w:sz w:val="20"/>
                <w:lang w:val="en-US" w:eastAsia="zh-CN"/>
              </w:rPr>
              <w:t>中华人民共和国</w:t>
            </w:r>
            <w:r>
              <w:rPr>
                <w:rFonts w:hint="eastAsia"/>
                <w:b/>
                <w:sz w:val="20"/>
                <w:lang w:val="en-US" w:eastAsia="zh-CN"/>
              </w:rPr>
              <w:t>环境影响评价</w:t>
            </w:r>
            <w:r>
              <w:rPr>
                <w:rFonts w:hint="default"/>
                <w:b/>
                <w:sz w:val="20"/>
                <w:lang w:val="en-US" w:eastAsia="zh-CN"/>
              </w:rPr>
              <w:t>法</w:t>
            </w:r>
            <w:r>
              <w:rPr>
                <w:rFonts w:hint="eastAsia"/>
                <w:b/>
                <w:sz w:val="20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环境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管理体系  要求</w:t>
            </w:r>
            <w:r>
              <w:rPr>
                <w:rFonts w:hint="eastAsia" w:ascii="Times New Roman" w:hAnsi="Times New Roman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及使用指南；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中华人民共和国</w:t>
            </w:r>
            <w:r>
              <w:rPr>
                <w:rFonts w:hint="eastAsia" w:ascii="Times New Roman" w:hAnsi="Times New Roman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水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法</w:t>
            </w:r>
            <w:r>
              <w:rPr>
                <w:rFonts w:hint="eastAsia" w:ascii="Times New Roman" w:hAnsi="Times New Roman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，中华人民共和国计量法；大气污染物排放标准、危险废物名录，危险废物转移管理办法；GB20426-2006煤炭工业污染物排放标准</w:t>
            </w:r>
            <w:r>
              <w:rPr>
                <w:rFonts w:hint="eastAsia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有废水、颗粒物、噪声监测报告，见相关证据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采煤过程相关环境影响专业知识，如危废库的管理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92710</wp:posOffset>
                  </wp:positionV>
                  <wp:extent cx="770890" cy="346075"/>
                  <wp:effectExtent l="0" t="0" r="3810" b="952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102870</wp:posOffset>
                  </wp:positionV>
                  <wp:extent cx="982345" cy="306070"/>
                  <wp:effectExtent l="0" t="0" r="0" b="11430"/>
                  <wp:wrapSquare wrapText="bothSides"/>
                  <wp:docPr id="7" name="图片 2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内蒙古鄂尔多斯市潮脑梁煤炭有限公司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专业小类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02.01.00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党明博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02.01.00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土石方剥离作业：</w:t>
            </w:r>
            <w:r>
              <w:rPr>
                <w:rFonts w:hint="eastAsia"/>
                <w:b/>
                <w:sz w:val="20"/>
                <w:szCs w:val="22"/>
              </w:rPr>
              <w:t>钻孔------爆破------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采装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排土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煤炭开采作业：采装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分类堆放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tbl>
            <w:tblPr>
              <w:tblStyle w:val="7"/>
              <w:tblpPr w:leftFromText="180" w:rightFromText="180" w:vertAnchor="text" w:horzAnchor="page" w:tblpX="373" w:tblpY="117"/>
              <w:tblOverlap w:val="never"/>
              <w:tblW w:w="722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9"/>
              <w:gridCol w:w="59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289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危险源</w:t>
                  </w:r>
                </w:p>
              </w:tc>
              <w:tc>
                <w:tcPr>
                  <w:tcW w:w="593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运输</w:t>
                  </w:r>
                </w:p>
              </w:tc>
              <w:tc>
                <w:tcPr>
                  <w:tcW w:w="593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（1）作业现场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内车辆严禁超速、超车。</w:t>
                  </w: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（2）作业现场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车辆行驶过程中严格保持安全距离，</w:t>
                  </w: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（3）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设备不得带病作业；</w:t>
                  </w: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（4）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加强</w:t>
                  </w: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从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业人员培训教育，不得出现酒后上岗，不得疲劳、带病驾驶。</w:t>
                  </w:r>
                  <w:r>
                    <w:rPr>
                      <w:rFonts w:hint="eastAsia" w:cs="Times New Roman"/>
                      <w:b/>
                      <w:sz w:val="20"/>
                      <w:szCs w:val="22"/>
                      <w:lang w:val="en-US" w:eastAsia="zh-CN"/>
                    </w:rPr>
                    <w:t>（5）加强运输道路管理，严格控制道路坡度、转弯半径，对掉落石渣及时组织装载机对道路进行清理等。（6）设置安全警示标识牌进行有效提醒。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eastAsia="zh-CN"/>
                    </w:rPr>
                    <w:t>爆破</w:t>
                  </w:r>
                </w:p>
              </w:tc>
              <w:tc>
                <w:tcPr>
                  <w:tcW w:w="593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（1）全部采用芯片雷管，以此来提高爆破的安全性能。</w:t>
                  </w:r>
                </w:p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（2）在爆破作业中增大爆破警戒范围，增加安全系数。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堆煤自燃</w:t>
                  </w:r>
                </w:p>
              </w:tc>
              <w:tc>
                <w:tcPr>
                  <w:tcW w:w="593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（1）堆煤场所减少堆煤，合理安排采煤时间,以及生产量。</w:t>
                  </w:r>
                </w:p>
                <w:p>
                  <w:pPr>
                    <w:snapToGrid w:val="0"/>
                    <w:spacing w:line="280" w:lineRule="exact"/>
                    <w:jc w:val="left"/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（2）按堆煤时间长短进行划分暴露时间不得超过</w:t>
                  </w:r>
                  <w:r>
                    <w:rPr>
                      <w:rFonts w:hint="eastAsia" w:cs="Times New Roman"/>
                      <w:b/>
                      <w:sz w:val="20"/>
                      <w:szCs w:val="22"/>
                      <w:lang w:val="en-US" w:eastAsia="zh-CN"/>
                    </w:rPr>
                    <w:t>煤炭自然发火期</w:t>
                  </w: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边坡</w:t>
                  </w:r>
                </w:p>
              </w:tc>
              <w:tc>
                <w:tcPr>
                  <w:tcW w:w="593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 xml:space="preserve">（1）边坡作业，严格按照要求进行，刷坡作业时，剔除易松动石块及有浮落可能的物体，为后期边坡的形成做好基础。 </w:t>
                  </w:r>
                </w:p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（2）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在非工作帮和端帮，严格按照设计进行采掘。</w:t>
                  </w:r>
                </w:p>
                <w:p>
                  <w:pPr>
                    <w:snapToGrid w:val="0"/>
                    <w:spacing w:line="280" w:lineRule="exact"/>
                    <w:jc w:val="left"/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（3）加强边坡监测工作，发现异常应及时采取有效措施；</w:t>
                  </w:r>
                </w:p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（4）加强开采作业管理，防止出现伞檐。</w:t>
                  </w:r>
                </w:p>
              </w:tc>
            </w:tr>
          </w:tbl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中华人民共和国安全生产法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中华人民共和国劳动法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中华人民共和国消防法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中华人民共和国职业病防治法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中华人民共和国刑法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中华人民共和国道路交通安全法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生产安全事故报告和调查处理条例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《生产安全事故报告和调查处理条例》罚款处罚暂行规定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生产安全事故应急预案管理办法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职业健康管理体系 要求及使用指南；危险化学品名录2015版等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采煤过程安全专业知识、危险源风险、安全教育、矿长带班等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92710</wp:posOffset>
                  </wp:positionV>
                  <wp:extent cx="770890" cy="346075"/>
                  <wp:effectExtent l="0" t="0" r="3810" b="9525"/>
                  <wp:wrapSquare wrapText="bothSides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102870</wp:posOffset>
                  </wp:positionV>
                  <wp:extent cx="982345" cy="306070"/>
                  <wp:effectExtent l="0" t="0" r="0" b="11430"/>
                  <wp:wrapSquare wrapText="bothSides"/>
                  <wp:docPr id="11" name="图片 2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16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/pazXAAAACAEAAA8AAAAAAAAAAQAgAAAAIgAAAGRycy9kb3ducmV2&#10;LnhtbFBLAQIUABQAAAAIAIdO4kAwuxlMxAEAAHs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YmE4Yzk4ZTg3NTZkMThkNWRmYTg4ZjIzNDA1OTIifQ=="/>
  </w:docVars>
  <w:rsids>
    <w:rsidRoot w:val="00000000"/>
    <w:rsid w:val="07110C03"/>
    <w:rsid w:val="18B36AA6"/>
    <w:rsid w:val="1DA529C1"/>
    <w:rsid w:val="294A3C72"/>
    <w:rsid w:val="300F712E"/>
    <w:rsid w:val="642E3F60"/>
    <w:rsid w:val="65B304C9"/>
    <w:rsid w:val="7E645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设计说明书第三级 + 首行缩进:  2 字符"/>
    <w:basedOn w:val="1"/>
    <w:qFormat/>
    <w:uiPriority w:val="0"/>
    <w:pPr>
      <w:keepNext/>
      <w:keepLines/>
      <w:adjustRightInd/>
      <w:snapToGrid/>
      <w:spacing w:before="100" w:beforeLines="0" w:line="500" w:lineRule="exact"/>
      <w:ind w:firstLine="200" w:firstLineChars="200"/>
      <w:jc w:val="left"/>
      <w:outlineLvl w:val="2"/>
    </w:pPr>
    <w:rPr>
      <w:b/>
      <w:bCs/>
      <w:kern w:val="44"/>
      <w:szCs w:val="2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1993</Words>
  <Characters>2335</Characters>
  <Lines>2</Lines>
  <Paragraphs>1</Paragraphs>
  <TotalTime>0</TotalTime>
  <ScaleCrop>false</ScaleCrop>
  <LinksUpToDate>false</LinksUpToDate>
  <CharactersWithSpaces>2364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2023-01-16T06:56:44Z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9FFBA76D313246A78D5ECF4AF36BDF45</vt:lpwstr>
  </property>
  <property fmtid="{D5CDD505-2E9C-101B-9397-08002B2CF9AE}" pid="3" name="KSOProductBuildVer">
    <vt:lpwstr>2052-11.1.0.10314</vt:lpwstr>
  </property>
</Properties>
</file>