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河北汇友家具有限公司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23.01.01;23.01.02;23.01.04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邱玉峰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柜体：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原材料—开料—封边—钻孔—组装—检验包装—成品</w:t>
            </w:r>
          </w:p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>免漆木门门扇：原材料-开料-合框-涂胶冷压-规方-封边-铣孔-组装包装-成品</w:t>
            </w:r>
          </w:p>
          <w:p>
            <w:pPr>
              <w:pStyle w:val="3"/>
              <w:jc w:val="both"/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           门套：原材料-开料-封边-铣孔-成品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   配套铝框门：原材料-开料-铣型-钻孔、组装--成品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lang w:val="en-US" w:eastAsia="zh-CN" w:bidi="ar-SA"/>
              </w:rPr>
              <w:t>涂胶冷压过程、封边过程，控制参数：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无缝隙、光滑、严实合缝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楷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中华人民共和国产品质量法、中华人民共和国计量法、中华人民共和国标准化法、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GB/T3342-2008《木家具通用技术条件》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GB 18584-2001 《室内装饰装修材料 木家具中有害物质限量》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提供了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3-11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月以来多份各类产品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产品检验报告单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123825</wp:posOffset>
                  </wp:positionV>
                  <wp:extent cx="681990" cy="457200"/>
                  <wp:effectExtent l="0" t="0" r="3810" b="0"/>
                  <wp:wrapNone/>
                  <wp:docPr id="6" name="图片 6" descr="d44add0440c382dc472ec0735ea6e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44add0440c382dc472ec0735ea6e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8020" t="5983" r="31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111760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河北汇友家具有限公司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E：</w:t>
            </w:r>
            <w:r>
              <w:rPr>
                <w:sz w:val="20"/>
              </w:rPr>
              <w:t>23.01.01;23.01.02;23.01.04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邱玉峰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柜体：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原材料—开料—封边—钻孔—组装—检验包装—成品</w:t>
            </w:r>
          </w:p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>免漆木门门扇：原材料-开料-合框-涂胶冷压-规方-封边-铣孔-组装包装-成品</w:t>
            </w:r>
          </w:p>
          <w:p>
            <w:pPr>
              <w:pStyle w:val="3"/>
              <w:jc w:val="both"/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           门套：原材料-开料-封边-铣孔-成品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   配套铝框门：原材料-开料-铣型-钻孔、组装--成品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提供《重要环境因素清单》，其中重要环境因素：潜在的火灾的发生；废气、废水、噪声的排放；固废的排放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评价基本准确。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采取管理方案和应急管理进行控制。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中华人民共和国环境保护法、大气污染防治法、废水排放标准等及相应的地方法规。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提供2022年5月9日第三方检测公司对三废的检测报告。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95250</wp:posOffset>
                  </wp:positionV>
                  <wp:extent cx="681990" cy="457200"/>
                  <wp:effectExtent l="0" t="0" r="3810" b="0"/>
                  <wp:wrapNone/>
                  <wp:docPr id="7" name="图片 7" descr="d44add0440c382dc472ec0735ea6e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44add0440c382dc472ec0735ea6e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8020" t="5983" r="31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121285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河北汇友家具有限公司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O：</w:t>
            </w:r>
            <w:r>
              <w:rPr>
                <w:sz w:val="20"/>
              </w:rPr>
              <w:t>23.01.01;23.01.02;23.01.04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邱玉峰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柜体：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原材料—开料—封边—钻孔—组装—检验包装—成品</w:t>
            </w:r>
          </w:p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>免漆木门门扇：原材料-开料-合框-涂胶冷压-规方-封边-铣孔-组装包装-成品</w:t>
            </w:r>
          </w:p>
          <w:p>
            <w:pPr>
              <w:pStyle w:val="3"/>
              <w:jc w:val="both"/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           门套：原材料-开料-封边-铣孔-成品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   配套铝框门：原材料-开料-铣型-钻孔、组装--成品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/>
              <w:textAlignment w:val="auto"/>
              <w:rPr>
                <w:rFonts w:hint="default" w:ascii="楷体" w:hAnsi="楷体" w:eastAsia="楷体" w:cs="楷体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涉及不可接受风险包括火灾、人身伤害、机械伤害、职业病等，全部制定了控制措施并制订应急预案进行管理。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中华人民共和国劳动法、安全生产法、职业病防治法、事故分类等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《作业场所有害物质监测报告》编号：112022DQ010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109855</wp:posOffset>
                  </wp:positionV>
                  <wp:extent cx="681990" cy="457200"/>
                  <wp:effectExtent l="0" t="0" r="3810" b="0"/>
                  <wp:wrapNone/>
                  <wp:docPr id="8" name="图片 8" descr="d44add0440c382dc472ec0735ea6e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44add0440c382dc472ec0735ea6e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8020" t="5983" r="31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145415</wp:posOffset>
                  </wp:positionV>
                  <wp:extent cx="752475" cy="628650"/>
                  <wp:effectExtent l="0" t="0" r="9525" b="0"/>
                  <wp:wrapNone/>
                  <wp:docPr id="5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AC14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2022-12-27T02:51:44Z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