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1288-2022-E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衡水市明诺采暖设备有限公司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2022年12月26日 上午至2022年12月26日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7"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8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□GB/T19001-2016□GB/T 50430-2017■GB/T24001-2016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□GB/T28001-2011□ISO45001：2018</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 23331-2021 □</w:t>
            </w:r>
            <w:r>
              <w:rPr>
                <w:rFonts w:hint="eastAsia" w:asciiTheme="minorEastAsia" w:hAnsiTheme="minorEastAsia" w:eastAsiaTheme="minorEastAsia"/>
                <w:b/>
                <w:color w:val="000000"/>
                <w:szCs w:val="21"/>
              </w:rPr>
              <w:t>能源认证标准</w:t>
            </w:r>
            <w:r>
              <w:rPr>
                <w:rFonts w:hint="eastAsia" w:asciiTheme="minorEastAsia" w:hAnsiTheme="minorEastAsia" w:eastAsiaTheme="minorEastAsia"/>
                <w:b/>
                <w:color w:val="000000"/>
                <w:szCs w:val="21"/>
                <w:lang w:val="de-DE"/>
              </w:rPr>
              <w:t>：RBXXX</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 xml:space="preserve">FSMS：□ GB/T22000-2006□ISO 22000-2018 </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HACCP：□ GB/T27341-2009□ GB 14881-2013 □《危害分析与关键控制点（HACCP体系）认证补充要求 1.0》</w:t>
            </w:r>
          </w:p>
          <w:p>
            <w:pPr>
              <w:rPr>
                <w:rFonts w:asciiTheme="minorEastAsia" w:hAnsiTheme="minorEastAsia" w:eastAsiaTheme="minorEastAsia"/>
                <w:b/>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受审核方</w:t>
            </w:r>
            <w:r>
              <w:rPr>
                <w:rFonts w:hint="eastAsia" w:asciiTheme="minorEastAsia" w:hAnsiTheme="minorEastAsia" w:eastAsiaTheme="minorEastAsia"/>
                <w:b/>
                <w:color w:val="000000"/>
                <w:szCs w:val="21"/>
              </w:rPr>
              <w:t>管理体系成文信息</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rPr>
              <w:t>顾客要求</w:t>
            </w:r>
          </w:p>
          <w:p>
            <w:pPr>
              <w:rPr>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asciiTheme="minorEastAsia" w:hAnsiTheme="minorEastAsia" w:eastAsiaTheme="minorEastAsia"/>
                <w:color w:val="000000"/>
                <w:szCs w:val="21"/>
              </w:rPr>
              <w:t>■</w:t>
            </w:r>
            <w:r>
              <w:rPr>
                <w:rFonts w:hint="eastAsia" w:asciiTheme="minorEastAsia" w:hAnsiTheme="minorEastAsia" w:eastAsiaTheme="minorEastAsia"/>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eastAsia="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衡水市冀州区春风南大街（云彩服饰办公楼201号）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r>
              <w:rPr>
                <w:b/>
                <w:color w:val="000000"/>
                <w:szCs w:val="21"/>
              </w:rPr>
              <w:t>29.11.04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衡水市明诺采暖设备有限公司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衡水市冀州区春风南大街396号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053200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衡水市冀州区春风南大街396号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053200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田永菊</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15233288289</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黄芳</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杨长安</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bookmarkStart w:id="28" w:name="审核范围"/>
            <w:r>
              <w:t>暖气片的销售所涉及场所的相关环境管理活动</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hAnsi="宋体"/>
                <w:color w:val="000000"/>
                <w:szCs w:val="21"/>
                <w:lang w:val="en-US" w:eastAsia="zh-CN"/>
              </w:rPr>
            </w:pPr>
            <w:r>
              <w:rPr>
                <w:rFonts w:hint="eastAsia" w:ascii="宋体" w:hAnsi="宋体"/>
                <w:color w:val="000000"/>
                <w:szCs w:val="21"/>
                <w:lang w:val="en-US" w:eastAsia="zh-CN"/>
              </w:rPr>
              <w:t>销售流程：</w:t>
            </w:r>
          </w:p>
          <w:p>
            <w:pPr>
              <w:tabs>
                <w:tab w:val="left" w:pos="360"/>
              </w:tabs>
              <w:ind w:left="360" w:hanging="360"/>
              <w:rPr>
                <w:rFonts w:ascii="宋体"/>
                <w:color w:val="000000"/>
                <w:szCs w:val="21"/>
              </w:rPr>
            </w:pPr>
            <w:r>
              <w:rPr>
                <w:rFonts w:hint="eastAsia" w:ascii="宋体" w:hAnsi="宋体"/>
                <w:color w:val="000000"/>
                <w:szCs w:val="21"/>
                <w:lang w:val="en-US" w:eastAsia="zh-CN"/>
              </w:rPr>
              <w:t>签订合同-</w:t>
            </w:r>
            <w:r>
              <w:rPr>
                <w:rFonts w:hint="eastAsia" w:ascii="宋体" w:hAnsi="宋体"/>
                <w:color w:val="000000"/>
                <w:szCs w:val="21"/>
              </w:rPr>
              <w:t>采购产品</w:t>
            </w:r>
            <w:r>
              <w:rPr>
                <w:rFonts w:hint="eastAsia" w:ascii="宋体" w:hAnsi="宋体"/>
                <w:color w:val="000000"/>
                <w:szCs w:val="21"/>
                <w:lang w:val="en-US" w:eastAsia="zh-CN"/>
              </w:rPr>
              <w:t>-进料验收-</w:t>
            </w:r>
            <w:r>
              <w:rPr>
                <w:rFonts w:hint="eastAsia" w:ascii="宋体" w:hAnsi="宋体"/>
                <w:color w:val="000000"/>
                <w:szCs w:val="21"/>
              </w:rPr>
              <w:t>销售产品</w:t>
            </w:r>
            <w:r>
              <w:rPr>
                <w:rFonts w:hint="eastAsia" w:ascii="宋体" w:hAnsi="宋体"/>
                <w:color w:val="000000"/>
                <w:szCs w:val="21"/>
                <w:lang w:val="en-US" w:eastAsia="zh-CN"/>
              </w:rPr>
              <w:t>-客户验收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暖气片的销售所涉及场所的相关环境管理活动</w:t>
            </w:r>
          </w:p>
        </w:tc>
        <w:tc>
          <w:tcPr>
            <w:tcW w:w="2006" w:type="dxa"/>
            <w:gridSpan w:val="3"/>
            <w:vAlign w:val="center"/>
          </w:tcPr>
          <w:p>
            <w:pPr>
              <w:spacing w:line="400" w:lineRule="exact"/>
              <w:rPr>
                <w:rFonts w:ascii="宋体" w:hAnsi="宋体"/>
                <w:b/>
                <w:color w:val="000000"/>
                <w:szCs w:val="21"/>
              </w:rPr>
            </w:pPr>
            <w:bookmarkStart w:id="29" w:name="专业代码"/>
            <w:r>
              <w:t>29.11.04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22"/>
        <w:gridCol w:w="95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2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衡水市明诺采暖设备有限公司</w:t>
            </w:r>
            <w:r>
              <w:rPr>
                <w:rFonts w:hint="eastAsia"/>
                <w:sz w:val="21"/>
                <w:szCs w:val="21"/>
                <w:lang w:val="en-US" w:eastAsia="zh-CN"/>
              </w:rPr>
              <w:t>/</w:t>
            </w:r>
            <w:r>
              <w:rPr>
                <w:sz w:val="21"/>
                <w:szCs w:val="21"/>
              </w:rPr>
              <w:t>衡水市冀州区春风南大街396号</w:t>
            </w:r>
          </w:p>
        </w:tc>
        <w:tc>
          <w:tcPr>
            <w:tcW w:w="2267" w:type="dxa"/>
          </w:tcPr>
          <w:p>
            <w:pPr>
              <w:spacing w:before="40" w:after="40"/>
              <w:rPr>
                <w:rFonts w:eastAsia="黑体"/>
                <w:szCs w:val="21"/>
                <w:lang w:val="de-DE" w:eastAsia="ja-JP"/>
              </w:rPr>
            </w:pPr>
            <w:r>
              <w:rPr>
                <w:sz w:val="21"/>
                <w:szCs w:val="21"/>
              </w:rPr>
              <w:t>衡水市冀州区春风南大街（云彩服饰办公楼201号）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522" w:type="dxa"/>
            <w:vAlign w:val="center"/>
          </w:tcPr>
          <w:p>
            <w:pPr>
              <w:pStyle w:val="19"/>
              <w:rPr>
                <w:rFonts w:eastAsia="黑体" w:cs="Arial"/>
                <w:sz w:val="21"/>
                <w:szCs w:val="21"/>
                <w:lang w:val="en-US" w:eastAsia="ja-JP"/>
              </w:rPr>
            </w:pPr>
            <w:r>
              <w:t>暖气片的销售所涉及场所的相关环境管理活动</w:t>
            </w:r>
          </w:p>
        </w:tc>
        <w:tc>
          <w:tcPr>
            <w:tcW w:w="950" w:type="dxa"/>
            <w:vAlign w:val="center"/>
          </w:tcPr>
          <w:p>
            <w:pPr>
              <w:spacing w:before="40" w:after="40"/>
              <w:rPr>
                <w:rFonts w:eastAsia="黑体"/>
                <w:szCs w:val="21"/>
                <w:lang w:eastAsia="ja-JP"/>
              </w:rPr>
            </w:pPr>
            <w:r>
              <w:rPr>
                <w:rFonts w:hint="eastAsia" w:asciiTheme="minorEastAsia" w:hAnsiTheme="minorEastAsia" w:eastAsiaTheme="minorEastAsia"/>
                <w:sz w:val="20"/>
                <w:szCs w:val="20"/>
                <w:lang w:val="en-GB" w:eastAsia="de-DE"/>
              </w:rPr>
              <w:t>GB/T24001-2016</w:t>
            </w:r>
          </w:p>
        </w:tc>
        <w:tc>
          <w:tcPr>
            <w:tcW w:w="668" w:type="dxa"/>
            <w:shd w:val="clear" w:color="auto" w:fill="FFFFFF"/>
            <w:vAlign w:val="top"/>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asciiTheme="minorEastAsia" w:hAnsiTheme="minorEastAsia" w:eastAsiaTheme="minorEastAsia"/>
                    <w:color w:val="000000"/>
                    <w:spacing w:val="-10"/>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22" w:type="dxa"/>
            <w:vAlign w:val="center"/>
          </w:tcPr>
          <w:p>
            <w:pPr>
              <w:spacing w:before="40" w:after="40"/>
              <w:rPr>
                <w:rFonts w:eastAsia="黑体"/>
                <w:szCs w:val="21"/>
                <w:lang w:eastAsia="ja-JP"/>
              </w:rPr>
            </w:pPr>
          </w:p>
        </w:tc>
        <w:tc>
          <w:tcPr>
            <w:tcW w:w="95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22" w:type="dxa"/>
            <w:vAlign w:val="center"/>
          </w:tcPr>
          <w:p>
            <w:pPr>
              <w:spacing w:before="40" w:after="40"/>
              <w:rPr>
                <w:rFonts w:eastAsia="黑体"/>
                <w:szCs w:val="21"/>
                <w:lang w:eastAsia="ja-JP"/>
              </w:rPr>
            </w:pPr>
          </w:p>
        </w:tc>
        <w:tc>
          <w:tcPr>
            <w:tcW w:w="95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22" w:type="dxa"/>
            <w:vAlign w:val="center"/>
          </w:tcPr>
          <w:p>
            <w:pPr>
              <w:spacing w:before="40" w:after="40"/>
              <w:rPr>
                <w:rFonts w:eastAsia="黑体"/>
                <w:szCs w:val="21"/>
                <w:lang w:eastAsia="ja-JP"/>
              </w:rPr>
            </w:pPr>
          </w:p>
        </w:tc>
        <w:tc>
          <w:tcPr>
            <w:tcW w:w="95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22" w:type="dxa"/>
            <w:vAlign w:val="center"/>
          </w:tcPr>
          <w:p>
            <w:pPr>
              <w:spacing w:before="40" w:after="40"/>
              <w:rPr>
                <w:rFonts w:eastAsia="黑体"/>
                <w:szCs w:val="21"/>
                <w:lang w:eastAsia="ja-JP"/>
              </w:rPr>
            </w:pPr>
          </w:p>
        </w:tc>
        <w:tc>
          <w:tcPr>
            <w:tcW w:w="95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265610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43662764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Theme="minorEastAsia" w:hAnsiTheme="minorEastAsia" w:eastAsiaTheme="minorEastAsia"/>
                <w:color w:val="000000"/>
                <w:szCs w:val="21"/>
              </w:rPr>
              <w:t xml:space="preserve"> </w:t>
            </w:r>
            <w:sdt>
              <w:sdtPr>
                <w:rPr>
                  <w:rFonts w:hint="eastAsia" w:asciiTheme="minorEastAsia" w:hAnsiTheme="minorEastAsia" w:eastAsiaTheme="minorEastAsia"/>
                  <w:color w:val="000000"/>
                  <w:szCs w:val="21"/>
                </w:rPr>
                <w:id w:val="436627646"/>
              </w:sdtPr>
              <w:sdtEndPr>
                <w:rPr>
                  <w:rFonts w:hint="eastAsia" w:asciiTheme="minorEastAsia" w:hAnsiTheme="minorEastAsia" w:eastAsiaTheme="minorEastAsia"/>
                  <w:color w:val="000000"/>
                  <w:szCs w:val="21"/>
                </w:rPr>
              </w:sdtEndPr>
              <w:sdtContent>
                <w:r>
                  <w:rPr>
                    <w:rFonts w:hint="eastAsia" w:asciiTheme="minorEastAsia" w:hAnsiTheme="minorEastAsia" w:eastAsiaTheme="minorEastAsia"/>
                    <w:color w:val="000000"/>
                    <w:szCs w:val="21"/>
                  </w:rPr>
                  <w:t>■</w:t>
                </w:r>
              </w:sdtContent>
            </w:sdt>
            <w:r>
              <w:rPr>
                <w:rFonts w:hint="eastAsia" w:asciiTheme="minorEastAsia" w:hAnsiTheme="minorEastAsia" w:eastAsiaTheme="minorEastAsia"/>
                <w:color w:val="00000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5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3"/>
              </w:sdtPr>
              <w:sdtEndPr>
                <w:rPr>
                  <w:rFonts w:asciiTheme="minorEastAsia" w:hAnsiTheme="minorEastAsia" w:eastAsiaTheme="minorEastAsia"/>
                  <w:szCs w:val="21"/>
                </w:rPr>
              </w:sdtEndPr>
              <w:sdtContent>
                <w:r>
                  <w:rPr>
                    <w:rFonts w:hint="eastAsia" w:ascii="宋体" w:hAnsi="宋体" w:eastAsia="宋体" w:cs="宋体"/>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7"/>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6"/>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highlight w:val="none"/>
              </w:rPr>
            </w:pPr>
            <w:r>
              <w:rPr>
                <w:rFonts w:hint="eastAsia" w:asciiTheme="minorEastAsia" w:hAnsiTheme="minorEastAsia" w:eastAsiaTheme="minorEastAsia"/>
                <w:b/>
                <w:color w:val="000000"/>
                <w:szCs w:val="21"/>
                <w:highlight w:val="none"/>
              </w:rPr>
              <w:t>10.</w:t>
            </w:r>
            <w:r>
              <w:rPr>
                <w:rFonts w:hint="eastAsia" w:asciiTheme="minorEastAsia" w:hAnsiTheme="minorEastAsia" w:eastAsiaTheme="minorEastAsia"/>
                <w:b/>
                <w:color w:val="000000"/>
                <w:szCs w:val="21"/>
                <w:highlight w:val="none"/>
                <w:u w:val="single"/>
              </w:rPr>
              <w:t>于2022年</w:t>
            </w:r>
            <w:r>
              <w:rPr>
                <w:rFonts w:hint="eastAsia" w:asciiTheme="minorEastAsia" w:hAnsiTheme="minorEastAsia" w:eastAsiaTheme="minorEastAsia"/>
                <w:b/>
                <w:color w:val="000000"/>
                <w:szCs w:val="21"/>
                <w:highlight w:val="none"/>
                <w:u w:val="single"/>
                <w:lang w:val="en-US" w:eastAsia="zh-CN"/>
              </w:rPr>
              <w:t>7</w:t>
            </w:r>
            <w:r>
              <w:rPr>
                <w:rFonts w:hint="eastAsia" w:asciiTheme="minorEastAsia" w:hAnsiTheme="minorEastAsia" w:eastAsiaTheme="minorEastAsia"/>
                <w:b/>
                <w:color w:val="000000"/>
                <w:szCs w:val="21"/>
                <w:highlight w:val="none"/>
                <w:u w:val="single"/>
              </w:rPr>
              <w:t>月1日</w:t>
            </w:r>
            <w:r>
              <w:rPr>
                <w:rFonts w:hint="eastAsia" w:asciiTheme="minorEastAsia" w:hAnsiTheme="minorEastAsia" w:eastAsiaTheme="minorEastAsia"/>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3"/>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11.已根据策划和标准要求于</w:t>
            </w:r>
            <w:r>
              <w:rPr>
                <w:rFonts w:hint="eastAsia" w:asciiTheme="minorEastAsia" w:hAnsiTheme="minorEastAsia" w:eastAsiaTheme="minorEastAsia"/>
                <w:b/>
                <w:szCs w:val="21"/>
                <w:highlight w:val="none"/>
                <w:u w:val="single"/>
                <w:lang w:eastAsia="zh-CN"/>
              </w:rPr>
              <w:t>2022年10月15日至10月16日</w:t>
            </w:r>
            <w:r>
              <w:rPr>
                <w:rFonts w:hint="eastAsia" w:asciiTheme="minorEastAsia" w:hAnsiTheme="minorEastAsia" w:eastAsiaTheme="minorEastAsia"/>
                <w:b/>
                <w:szCs w:val="21"/>
                <w:highlight w:val="none"/>
              </w:rPr>
              <w:t>由</w:t>
            </w:r>
            <w:r>
              <w:rPr>
                <w:rFonts w:hint="eastAsia" w:asciiTheme="minorEastAsia" w:hAnsiTheme="minorEastAsia" w:eastAsiaTheme="minorEastAsia"/>
                <w:b/>
                <w:szCs w:val="21"/>
                <w:highlight w:val="none"/>
              </w:rPr>
              <w:t>有能力的人实施了内部审核，覆盖所有场所、部门和过程，</w:t>
            </w:r>
            <w:r>
              <w:rPr>
                <w:rFonts w:hint="eastAsia" w:asciiTheme="minorEastAsia" w:hAnsiTheme="minorEastAsia" w:eastAsiaTheme="minorEastAsia"/>
                <w:b/>
                <w:szCs w:val="21"/>
                <w:highlight w:val="none"/>
                <w:lang w:val="en-GB"/>
              </w:rPr>
              <w:t>组织通过内审验证了管理体系的</w:t>
            </w:r>
            <w:r>
              <w:rPr>
                <w:rFonts w:hint="eastAsia" w:asciiTheme="minorEastAsia" w:hAnsiTheme="minorEastAsia" w:eastAsiaTheme="minorEastAsia"/>
                <w:b/>
                <w:szCs w:val="21"/>
                <w:highlight w:val="none"/>
              </w:rPr>
              <w:t>符合性</w:t>
            </w:r>
            <w:r>
              <w:rPr>
                <w:rFonts w:hint="eastAsia" w:asciiTheme="minorEastAsia" w:hAnsiTheme="minorEastAsia" w:eastAsiaTheme="minorEastAsia"/>
                <w:b/>
                <w:szCs w:val="21"/>
                <w:highlight w:val="none"/>
                <w:lang w:val="en-GB"/>
              </w:rPr>
              <w:t>及有效性，</w:t>
            </w:r>
            <w:r>
              <w:rPr>
                <w:rFonts w:hint="eastAsia" w:asciiTheme="minorEastAsia" w:hAnsiTheme="minorEastAsia" w:eastAsiaTheme="minorEastAsia"/>
                <w:b/>
                <w:szCs w:val="21"/>
                <w:highlight w:val="none"/>
              </w:rPr>
              <w:t>并对不符合项制订和采取了纠正措施。</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Theme="minorEastAsia" w:hAnsiTheme="minorEastAsia" w:eastAsiaTheme="minorEastAsia"/>
                <w:sz w:val="21"/>
                <w:szCs w:val="21"/>
                <w:highlight w:val="none"/>
                <w:lang w:val="en-GB" w:eastAsia="zh-CN"/>
              </w:rPr>
            </w:pPr>
            <w:r>
              <w:rPr>
                <w:rFonts w:hint="eastAsia" w:asciiTheme="minorEastAsia" w:hAnsiTheme="minorEastAsia" w:eastAsiaTheme="minorEastAsia"/>
                <w:sz w:val="21"/>
                <w:szCs w:val="21"/>
                <w:highlight w:val="none"/>
                <w:lang w:val="en-US" w:eastAsia="zh-CN"/>
              </w:rPr>
              <w:t>12.已根据策划于</w:t>
            </w:r>
            <w:r>
              <w:rPr>
                <w:rFonts w:hint="eastAsia" w:asciiTheme="minorEastAsia" w:hAnsiTheme="minorEastAsia" w:eastAsiaTheme="minorEastAsia"/>
                <w:sz w:val="21"/>
                <w:szCs w:val="21"/>
                <w:highlight w:val="none"/>
                <w:u w:val="single"/>
                <w:lang w:val="en-US" w:eastAsia="zh-CN"/>
              </w:rPr>
              <w:t>2022年10月25日</w:t>
            </w:r>
            <w:r>
              <w:rPr>
                <w:rFonts w:hint="eastAsia" w:asciiTheme="minorEastAsia" w:hAnsiTheme="minorEastAsia" w:eastAsiaTheme="minorEastAsia"/>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Theme="minorEastAsia" w:hAnsiTheme="minorEastAsia" w:eastAsiaTheme="minorEastAsia"/>
                <w:b/>
                <w:szCs w:val="21"/>
              </w:rPr>
            </w:pPr>
            <w:r>
              <w:rPr>
                <w:rFonts w:hint="eastAsia" w:asciiTheme="minorEastAsia" w:hAnsiTheme="minorEastAsia" w:eastAsiaTheme="minorEastAsia"/>
                <w:b/>
                <w:szCs w:val="21"/>
              </w:rPr>
              <w:t>其他补充说明</w:t>
            </w:r>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是否按法规办理了环境影响评价登记表/报告表/报告书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是否按法规办理了环境影响评价报告表/报告书的验收                    </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是否按法规办理了《排污许可证》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是否提供近期环境监测报告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是否有相关方重大环境方面的投诉 </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2022-12-2</w:t>
            </w:r>
            <w:bookmarkEnd w:id="30"/>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暖气片的销售所涉及场所的相关环境管理活动</w:t>
            </w:r>
          </w:p>
        </w:tc>
        <w:tc>
          <w:tcPr>
            <w:tcW w:w="1541" w:type="dxa"/>
            <w:vAlign w:val="center"/>
          </w:tcPr>
          <w:p>
            <w:pPr>
              <w:spacing w:line="400" w:lineRule="exact"/>
              <w:rPr>
                <w:rFonts w:ascii="宋体" w:hAnsi="宋体"/>
                <w:b/>
                <w:color w:val="000000"/>
                <w:szCs w:val="21"/>
              </w:rPr>
            </w:pPr>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1818005</wp:posOffset>
            </wp:positionH>
            <wp:positionV relativeFrom="paragraph">
              <wp:posOffset>339090</wp:posOffset>
            </wp:positionV>
            <wp:extent cx="696595" cy="351155"/>
            <wp:effectExtent l="0" t="0" r="1905"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 xml:space="preserve">2022年12月26日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w:t>
      </w:r>
      <w:bookmarkStart w:id="31" w:name="_GoBack"/>
      <w:r>
        <w:rPr>
          <w:rFonts w:hint="eastAsia" w:eastAsia="隶书"/>
          <w:color w:val="000000"/>
          <w:sz w:val="21"/>
          <w:szCs w:val="21"/>
        </w:rPr>
        <w:t>衡水市明诺采暖设备有限公司</w:t>
      </w:r>
    </w:p>
    <w:bookmarkEnd w:id="31"/>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宋体" w:hAnsi="宋体"/>
                <w:b/>
                <w:color w:val="000000"/>
                <w:szCs w:val="21"/>
              </w:rPr>
              <w:drawing>
                <wp:anchor distT="0" distB="0" distL="114300" distR="114300" simplePos="0" relativeHeight="251664384" behindDoc="0" locked="0" layoutInCell="1" allowOverlap="1">
                  <wp:simplePos x="0" y="0"/>
                  <wp:positionH relativeFrom="column">
                    <wp:posOffset>742315</wp:posOffset>
                  </wp:positionH>
                  <wp:positionV relativeFrom="paragraph">
                    <wp:posOffset>17145</wp:posOffset>
                  </wp:positionV>
                  <wp:extent cx="696595" cy="351155"/>
                  <wp:effectExtent l="0" t="0" r="1905" b="444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 xml:space="preserve">2022年12月26日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 xml:space="preserve">2022年12月26日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436245</wp:posOffset>
                  </wp:positionH>
                  <wp:positionV relativeFrom="paragraph">
                    <wp:posOffset>226060</wp:posOffset>
                  </wp:positionV>
                  <wp:extent cx="696595" cy="351155"/>
                  <wp:effectExtent l="0" t="0" r="1905" b="444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 xml:space="preserve">2022年12月26日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1BD62B96"/>
    <w:rsid w:val="3AFB2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4137</Words>
  <Characters>4671</Characters>
  <Lines>67</Lines>
  <Paragraphs>18</Paragraphs>
  <TotalTime>1</TotalTime>
  <ScaleCrop>false</ScaleCrop>
  <LinksUpToDate>false</LinksUpToDate>
  <CharactersWithSpaces>4928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2022-12-26T02:55:05Z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