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7"/>
        <w:gridCol w:w="7177"/>
        <w:gridCol w:w="9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中国石油化工股份有限公司石家庄炼化分公司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 w:ascii="宋体" w:hAnsi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初审■第( 二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83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</w:t>
            </w:r>
          </w:p>
        </w:tc>
        <w:tc>
          <w:tcPr>
            <w:tcW w:w="83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聚丙烯和工业硫酸的生产国家有限额要求，建议列入公司级目标指标进行管控。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</w:t>
            </w:r>
          </w:p>
        </w:tc>
        <w:tc>
          <w:tcPr>
            <w:tcW w:w="83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0"/>
                <w:szCs w:val="20"/>
              </w:rPr>
            </w:pPr>
            <w:r>
              <w:rPr>
                <w:rFonts w:hint="eastAsia"/>
                <w:bCs w:val="0"/>
                <w:spacing w:val="0"/>
                <w:sz w:val="20"/>
              </w:rPr>
              <w:t>公司级能源评审报告：1）引用的部分标准已过期，如GB2588标准；2）报告应确定评审期和基准期；3）公司和部分装置能源评审报告缺少对标限额标准的内容；4）应对边界进行明晰的划分与解释。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3</w:t>
            </w:r>
          </w:p>
        </w:tc>
        <w:tc>
          <w:tcPr>
            <w:tcW w:w="83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rPr>
                <w:bCs w:val="0"/>
                <w:spacing w:val="0"/>
                <w:sz w:val="20"/>
              </w:rPr>
            </w:pPr>
            <w:r>
              <w:rPr>
                <w:rFonts w:hint="eastAsia"/>
                <w:bCs w:val="0"/>
                <w:spacing w:val="0"/>
                <w:sz w:val="20"/>
              </w:rPr>
              <w:t>《能源管理办法》、《机泵管理办法》中：主要耗能设备能效监测原则：功率＞100kW的，每年组织开展能效监测一次；功率小于等于100kW的，每四年组织开展能效监测一次。查看主要能源使用区域清单：有452台主要用能设备，提供的2023年能效测试计划为229台，</w:t>
            </w:r>
            <w:r>
              <w:rPr>
                <w:rFonts w:hint="eastAsia"/>
                <w:sz w:val="20"/>
              </w:rPr>
              <w:t>能效测试计划与制度要求不一致</w:t>
            </w:r>
            <w:r>
              <w:rPr>
                <w:rFonts w:hint="eastAsia"/>
                <w:bCs w:val="0"/>
                <w:spacing w:val="0"/>
                <w:sz w:val="20"/>
              </w:rPr>
              <w:t>。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4</w:t>
            </w:r>
          </w:p>
        </w:tc>
        <w:tc>
          <w:tcPr>
            <w:tcW w:w="83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能源评审报告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1）运行一部：三套装置的能源评审报告：1）人员描述不一致；2）1#催化裂化装置的相关变量与能源绩效参数不对应。</w:t>
            </w:r>
            <w:r>
              <w:rPr>
                <w:rFonts w:hint="eastAsia"/>
                <w:sz w:val="20"/>
                <w:lang w:val="en-US" w:eastAsia="zh-CN"/>
              </w:rPr>
              <w:t>2#气分未统计主要耗能设备计量器具配备情况；</w:t>
            </w:r>
            <w:bookmarkStart w:id="12" w:name="_GoBack"/>
            <w:bookmarkEnd w:id="12"/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0"/>
                <w:szCs w:val="21"/>
              </w:rPr>
              <w:t>2）炼油运行二部：3#加氢装置能源评审报告：能源评审报告中能源计量二级应配5台（蒸汽2台、燃料气1台、电2台），实配6台；能源计量三级应配3台（蒸汽1台，燃料气2台），实配3台。但附录三《耗能单元二级能源计量台账》中有15台，《耗能单元三级能源计量台账》中有4台。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3）炼油运行四部：五套装置的能源评审报告“表16 节能改进机会项目清单”，未对节能机会进行排序；“表5  能源管理范围与边界划分”，建议与电仪中心沟通完善各装置送电的位号。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4）炼油运行五部：重整装置能源评审报告（评审周期2021年1-12月），通过对2021全年的能源使用和能源消耗的分析，评审输出确定2022年有6项改进的机会（表21），但表25《节能技改项目实施计划》内容是“331-P802B更换泵头，投资100万元，回收期5.36年，节能技改项目来源不明确。</w:t>
            </w:r>
          </w:p>
          <w:p>
            <w:pPr>
              <w:pStyle w:val="2"/>
            </w:pPr>
            <w:r>
              <w:rPr>
                <w:rFonts w:hint="eastAsia"/>
              </w:rPr>
              <w:t>5）水务运行部：1#供排水的能源评审报告（含一、二循、化学水、空压站），查一、二循的“《耗能单元（电）能源二级计量台账》”、化学水的“《耗能单元（电）能源二级计量台账》”，其中序号1，3#变电所的出厂编号均为“20060515040087”，边界设置不清晰。一、二循的二级计量台账只有电、水的，“表9 一循二循用能结构分析”中包含介质为“电、新鲜水、1.0MPa蒸汽”。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5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党委组织部（资源管理部）提供的培训计划中没有能源体系相关的内容，生产技术部的培训中心有相关内容。</w:t>
            </w:r>
          </w:p>
        </w:tc>
        <w:tc>
          <w:tcPr>
            <w:tcW w:w="90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6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运行三部烷基化装置水冷器9台，其中4台流速低于0.5m/s，查清洗记录，无冲洗时间，根据2022年5月7日的循环水优化会议纪要要求流速低水冷器定期冲洗，暂定为每月一次，无法验证是否满足每月一次的冲洗要求。</w:t>
            </w:r>
          </w:p>
        </w:tc>
        <w:tc>
          <w:tcPr>
            <w:tcW w:w="90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7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运行四部：2022年2月17日加热炉能效测试，F301炉子辐射室弯头箱物料线保温不全破损，目前还未整改（陪同人员介绍属于四级高处作业）；3#催化能源评审报告中相关变量显示：3.5MPa蒸汽单耗相关变量富气冷后温度35℃，指标应为范围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运行一部：现场泵P102/2出入口管理保温不完好、容207底部管线保温不完好。1#常减压加热炉F001/2排烟氧含量4.1%。</w:t>
            </w:r>
          </w:p>
        </w:tc>
        <w:tc>
          <w:tcPr>
            <w:tcW w:w="90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8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内审计划及现场日程审核安排中未规定具体的审核人员及分工，不利于内审工作的开展。</w:t>
            </w:r>
          </w:p>
        </w:tc>
        <w:tc>
          <w:tcPr>
            <w:tcW w:w="90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9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体系管理评审的策划和实施还需尽快完成</w:t>
            </w:r>
          </w:p>
        </w:tc>
        <w:tc>
          <w:tcPr>
            <w:tcW w:w="90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10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电气仪表中心的能源管理KPI考核指标仅1项，即：变频器完好率 确保95%/达标97.5%/奋斗100%，建议电气仪表中心结合单位能源职责权限等进行目标分解，如：能源计量校准差错率为 0；电气抄表差错率为 0；架空线路巡检漏检率为0；等等。</w:t>
            </w:r>
          </w:p>
          <w:p>
            <w:pPr>
              <w:pStyle w:val="2"/>
              <w:rPr>
                <w:sz w:val="20"/>
              </w:rPr>
            </w:pPr>
            <w:r>
              <w:rPr>
                <w:rFonts w:hint="eastAsia"/>
                <w:bCs w:val="0"/>
                <w:spacing w:val="0"/>
                <w:sz w:val="20"/>
              </w:rPr>
              <w:t>消防救援支队2022年度用水指标：6480吨，用电指标为：204000度，生产技术部进行年度考核，建议将用水用电指标纳入到本部门绩效目标指标。</w:t>
            </w:r>
          </w:p>
        </w:tc>
        <w:tc>
          <w:tcPr>
            <w:tcW w:w="90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11</w:t>
            </w:r>
          </w:p>
        </w:tc>
        <w:tc>
          <w:tcPr>
            <w:tcW w:w="836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建议：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1）“表6-a/b  耗能单元（二级/三级）能源计量器具配备率”标准加入一列“国家规定准确度等级”。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2）装置能源评审报告附件中只出现一、二、三级计量台账（三级应该是主要耗能设备设施的），建议增加主要耗能设备设施的台账。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3）装置能源评审报告中，对主要能源使用的能源绩效、能源绩效参数相关的表单：“能源绩效分析”、“表14  能源绩效参数值”、“表11 主要能源使用及相关变量”、“表15 主要能源使用清单”、“表17   能源绩效参数表”等表单中：（1）建议规定考核级别（公司级、运行部级、车间装置级，如同工艺指标、质量指标一样考核，有可能出现相同专业同时考核，由公司规定），（2）建议同时出现的主要能源使用应该统一，有时是前二位，有的是前三位，建议明确标准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4）装置能源评审报告中只出现“表18  能源数据收集计划”，没有发现标准中“9.1.1需要监视和测量的内容，至少包括以下关键特性”等。建议将“表18  能源数据收集计划”修改为“主要用能关键特性监视测量计划”，同时增加一行“各能源管理实施方案，根据方案的实施进度，按方案要求的频次等”。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5）建议各装置的能源评审报告中加上表格“影响装置主要耗能设备设施能源绩效参数的相关变量（设备部分）”，并且写明控制级别。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6）目前没有变压器的测试证据，建议对变压器进行能效测试。</w:t>
            </w:r>
          </w:p>
        </w:tc>
        <w:tc>
          <w:tcPr>
            <w:tcW w:w="903" w:type="dxa"/>
          </w:tcPr>
          <w:p/>
        </w:tc>
      </w:tr>
    </w:tbl>
    <w:p>
      <w:pPr>
        <w:wordWrap w:val="0"/>
        <w:jc w:val="right"/>
      </w:pPr>
    </w:p>
    <w:p>
      <w:pPr>
        <w:ind w:right="840"/>
        <w:jc w:val="center"/>
      </w:pPr>
      <w:r>
        <w:rPr>
          <w:rFonts w:hint="eastAsia"/>
        </w:rPr>
        <w:t xml:space="preserve">                                 </w:t>
      </w:r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2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C89"/>
    <w:rsid w:val="00024AFF"/>
    <w:rsid w:val="0005346F"/>
    <w:rsid w:val="00067998"/>
    <w:rsid w:val="000831DA"/>
    <w:rsid w:val="000B20E5"/>
    <w:rsid w:val="001139B6"/>
    <w:rsid w:val="00202241"/>
    <w:rsid w:val="0025764D"/>
    <w:rsid w:val="00277436"/>
    <w:rsid w:val="003072CC"/>
    <w:rsid w:val="0035168A"/>
    <w:rsid w:val="00357C55"/>
    <w:rsid w:val="003F7CB0"/>
    <w:rsid w:val="00442A00"/>
    <w:rsid w:val="004713F5"/>
    <w:rsid w:val="004D0065"/>
    <w:rsid w:val="0050587E"/>
    <w:rsid w:val="005241BC"/>
    <w:rsid w:val="005417B5"/>
    <w:rsid w:val="00576692"/>
    <w:rsid w:val="005A6F24"/>
    <w:rsid w:val="005F16B7"/>
    <w:rsid w:val="0063577C"/>
    <w:rsid w:val="00660173"/>
    <w:rsid w:val="006676F1"/>
    <w:rsid w:val="00677706"/>
    <w:rsid w:val="00690FDD"/>
    <w:rsid w:val="0071611B"/>
    <w:rsid w:val="007255C6"/>
    <w:rsid w:val="00746443"/>
    <w:rsid w:val="00764CCC"/>
    <w:rsid w:val="0078310A"/>
    <w:rsid w:val="00796C1A"/>
    <w:rsid w:val="007C645E"/>
    <w:rsid w:val="00824F88"/>
    <w:rsid w:val="00834A9C"/>
    <w:rsid w:val="00886CBD"/>
    <w:rsid w:val="008B0BFD"/>
    <w:rsid w:val="008C611E"/>
    <w:rsid w:val="008D2127"/>
    <w:rsid w:val="008D65D4"/>
    <w:rsid w:val="00954484"/>
    <w:rsid w:val="00992536"/>
    <w:rsid w:val="009B6646"/>
    <w:rsid w:val="00A41FB6"/>
    <w:rsid w:val="00AC39D6"/>
    <w:rsid w:val="00AD12B1"/>
    <w:rsid w:val="00AD1DF5"/>
    <w:rsid w:val="00B27C89"/>
    <w:rsid w:val="00B978B4"/>
    <w:rsid w:val="00BA1A33"/>
    <w:rsid w:val="00CA0E0D"/>
    <w:rsid w:val="00CE6482"/>
    <w:rsid w:val="00D07CCC"/>
    <w:rsid w:val="00D12C46"/>
    <w:rsid w:val="00D73D81"/>
    <w:rsid w:val="00D84ECA"/>
    <w:rsid w:val="00D95C75"/>
    <w:rsid w:val="00DB73A2"/>
    <w:rsid w:val="00EC3790"/>
    <w:rsid w:val="00EC5AFB"/>
    <w:rsid w:val="00EE1B1B"/>
    <w:rsid w:val="00F87BA7"/>
    <w:rsid w:val="00FA3045"/>
    <w:rsid w:val="00FC1487"/>
    <w:rsid w:val="00FD550B"/>
    <w:rsid w:val="00FE653C"/>
    <w:rsid w:val="00FF1425"/>
    <w:rsid w:val="067F53CC"/>
    <w:rsid w:val="0765558B"/>
    <w:rsid w:val="18792A3F"/>
    <w:rsid w:val="1D3C3472"/>
    <w:rsid w:val="1E137E30"/>
    <w:rsid w:val="27D40C94"/>
    <w:rsid w:val="285D2C84"/>
    <w:rsid w:val="2F2E4BE6"/>
    <w:rsid w:val="32D85025"/>
    <w:rsid w:val="33CF3AA7"/>
    <w:rsid w:val="35E841A0"/>
    <w:rsid w:val="37385B44"/>
    <w:rsid w:val="43516100"/>
    <w:rsid w:val="457A2DF4"/>
    <w:rsid w:val="4A5400D1"/>
    <w:rsid w:val="4B7A6433"/>
    <w:rsid w:val="534040B4"/>
    <w:rsid w:val="5FE42C0D"/>
    <w:rsid w:val="64DB7DCC"/>
    <w:rsid w:val="64F422C9"/>
    <w:rsid w:val="67632753"/>
    <w:rsid w:val="6BF30901"/>
    <w:rsid w:val="78AD56B1"/>
    <w:rsid w:val="78C25565"/>
    <w:rsid w:val="7D9E5B8A"/>
    <w:rsid w:val="7E007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338</Words>
  <Characters>1932</Characters>
  <Lines>16</Lines>
  <Paragraphs>4</Paragraphs>
  <TotalTime>135</TotalTime>
  <ScaleCrop>false</ScaleCrop>
  <LinksUpToDate>false</LinksUpToDate>
  <CharactersWithSpaces>2266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2022-12-31T06:32:25Z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