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1334-2022-EnMs</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中国石油化工股份有限公司石家庄炼化分公司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能源管理体系（EnMS）</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中国石油化工股份有限公司石家庄炼化分公司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石家庄石炼路1号</w:t>
            </w:r>
            <w:bookmarkEnd w:id="6"/>
          </w:p>
        </w:tc>
        <w:tc>
          <w:tcPr>
            <w:tcW w:w="1242" w:type="dxa"/>
            <w:vMerge w:val="restart"/>
            <w:vAlign w:val="center"/>
          </w:tcPr>
          <w:p>
            <w:r>
              <w:rPr>
                <w:rFonts w:hint="eastAsia"/>
              </w:rPr>
              <w:t>邮编</w:t>
            </w:r>
          </w:p>
        </w:tc>
        <w:tc>
          <w:tcPr>
            <w:tcW w:w="1771" w:type="dxa"/>
          </w:tcPr>
          <w:p>
            <w:bookmarkStart w:id="7" w:name="注册邮编"/>
            <w:r>
              <w:t>050011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石家庄石炼路1号</w:t>
            </w:r>
            <w:bookmarkEnd w:id="8"/>
          </w:p>
        </w:tc>
        <w:tc>
          <w:tcPr>
            <w:tcW w:w="1242" w:type="dxa"/>
            <w:vMerge w:val="continue"/>
            <w:vAlign w:val="center"/>
          </w:tcPr>
          <w:p/>
        </w:tc>
        <w:tc>
          <w:tcPr>
            <w:tcW w:w="1771" w:type="dxa"/>
          </w:tcPr>
          <w:p>
            <w:bookmarkStart w:id="9" w:name="办公邮编"/>
            <w:r>
              <w:t>050011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孙健</w:t>
            </w:r>
            <w:bookmarkEnd w:id="10"/>
          </w:p>
        </w:tc>
        <w:tc>
          <w:tcPr>
            <w:tcW w:w="1313" w:type="dxa"/>
            <w:vAlign w:val="center"/>
          </w:tcPr>
          <w:p>
            <w:r>
              <w:rPr>
                <w:rFonts w:hint="eastAsia"/>
              </w:rPr>
              <w:t>电话.</w:t>
            </w:r>
          </w:p>
        </w:tc>
        <w:tc>
          <w:tcPr>
            <w:tcW w:w="2180" w:type="dxa"/>
            <w:vAlign w:val="center"/>
          </w:tcPr>
          <w:p>
            <w:bookmarkStart w:id="11" w:name="联系人电话"/>
            <w:r>
              <w:t>13933125571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胡正海</w:t>
            </w:r>
            <w:bookmarkEnd w:id="13"/>
          </w:p>
        </w:tc>
        <w:tc>
          <w:tcPr>
            <w:tcW w:w="1313" w:type="dxa"/>
            <w:vAlign w:val="center"/>
          </w:tcPr>
          <w:p>
            <w:r>
              <w:rPr>
                <w:rFonts w:hint="eastAsia"/>
              </w:rPr>
              <w:t>管理者代表</w:t>
            </w:r>
          </w:p>
        </w:tc>
        <w:tc>
          <w:tcPr>
            <w:tcW w:w="2180" w:type="dxa"/>
          </w:tcP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受审核组织的班次：□单班</w:t>
            </w:r>
            <w:r>
              <w:rPr>
                <w:rFonts w:hint="eastAsia"/>
              </w:rPr>
              <w:sym w:font="Wingdings 2" w:char="0052"/>
            </w:r>
            <w:r>
              <w:rPr>
                <w:rFonts w:hint="eastAsia"/>
              </w:rPr>
              <w:t>双班</w:t>
            </w:r>
            <w:r>
              <w:rPr>
                <w:rFonts w:hint="eastAsia"/>
                <w:lang w:eastAsia="zh-CN"/>
              </w:rPr>
              <w:t>（</w:t>
            </w:r>
            <w:r>
              <w:rPr>
                <w:rFonts w:hint="eastAsia"/>
                <w:lang w:val="en-US" w:eastAsia="zh-CN"/>
              </w:rPr>
              <w:t>四班两倒</w:t>
            </w:r>
            <w:r>
              <w:rPr>
                <w:rFonts w:hint="eastAsia"/>
                <w:lang w:eastAsia="zh-CN"/>
              </w:rPr>
              <w:t>）</w:t>
            </w:r>
            <w:r>
              <w:rPr>
                <w:rFonts w:hint="eastAsia"/>
              </w:rPr>
              <w:t>□三班□其他</w:t>
            </w:r>
          </w:p>
          <w:p>
            <w:r>
              <w:rPr>
                <w:rFonts w:hint="eastAsia"/>
                <w:highlight w:val="none"/>
              </w:rPr>
              <w:t>审核相应地考虑了多班次操作，并且有代表性地审核了所有班次。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inline distT="0" distB="0" distL="114300" distR="114300">
                  <wp:extent cx="4809490" cy="2567305"/>
                  <wp:effectExtent l="0" t="0" r="381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809490" cy="2567305"/>
                          </a:xfrm>
                          <a:prstGeom prst="rect">
                            <a:avLst/>
                          </a:prstGeom>
                          <a:noFill/>
                          <a:ln>
                            <a:noFill/>
                          </a:ln>
                        </pic:spPr>
                      </pic:pic>
                    </a:graphicData>
                  </a:graphic>
                </wp:inline>
              </w:drawing>
            </w:r>
          </w:p>
          <w:p>
            <w:pPr>
              <w:pStyle w:val="2"/>
              <w:ind w:left="0" w:leftChars="0" w:firstLine="0" w:firstLineChars="0"/>
            </w:pPr>
            <w:r>
              <w:drawing>
                <wp:inline distT="0" distB="0" distL="114300" distR="114300">
                  <wp:extent cx="5181600" cy="1880870"/>
                  <wp:effectExtent l="0" t="0" r="0"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181600" cy="1880870"/>
                          </a:xfrm>
                          <a:prstGeom prst="rect">
                            <a:avLst/>
                          </a:prstGeom>
                          <a:noFill/>
                          <a:ln>
                            <a:noFill/>
                          </a:ln>
                        </pic:spPr>
                      </pic:pic>
                    </a:graphicData>
                  </a:graphic>
                </wp:inline>
              </w:drawing>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2022年12月29日 上午至2022年12月30日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96" w:hRule="exact"/>
        </w:trPr>
        <w:tc>
          <w:tcPr>
            <w:tcW w:w="1632" w:type="dxa"/>
            <w:gridSpan w:val="2"/>
          </w:tcPr>
          <w:p>
            <w:r>
              <w:rPr>
                <w:rFonts w:hint="eastAsia"/>
              </w:rPr>
              <w:t>审核准则</w:t>
            </w:r>
          </w:p>
          <w:p/>
        </w:tc>
        <w:tc>
          <w:tcPr>
            <w:tcW w:w="7831" w:type="dxa"/>
            <w:gridSpan w:val="3"/>
            <w:tcMar>
              <w:left w:w="113" w:type="dxa"/>
            </w:tcMar>
          </w:tcPr>
          <w:p>
            <w:pPr>
              <w:rPr>
                <w:rFonts w:ascii="Times New Roman" w:hAnsi="Times New Roman" w:eastAsia="宋体" w:cs="Times New Roman"/>
                <w:lang w:val="de-DE"/>
              </w:rPr>
            </w:pPr>
            <w:r>
              <w:rPr>
                <w:rFonts w:hint="eastAsia" w:ascii="Times New Roman" w:hAnsi="Times New Roman" w:eastAsia="宋体" w:cs="Times New Roman"/>
                <w:lang w:val="de-DE"/>
              </w:rPr>
              <w:t>□GB/T19001-2016</w:t>
            </w:r>
            <w:bookmarkStart w:id="19" w:name="QJ勾选Add2"/>
            <w:r>
              <w:rPr>
                <w:rFonts w:hint="eastAsia" w:ascii="Times New Roman" w:hAnsi="Times New Roman" w:eastAsia="宋体" w:cs="Times New Roman"/>
                <w:lang w:val="de-DE"/>
              </w:rPr>
              <w:t>□</w:t>
            </w:r>
            <w:bookmarkEnd w:id="19"/>
            <w:r>
              <w:rPr>
                <w:rFonts w:hint="eastAsia" w:ascii="Times New Roman" w:hAnsi="Times New Roman" w:eastAsia="宋体" w:cs="Times New Roman"/>
                <w:lang w:val="de-DE"/>
              </w:rPr>
              <w:t>GB/T 50430-2017□GB/T24001-2016</w:t>
            </w:r>
          </w:p>
          <w:p>
            <w:pPr>
              <w:rPr>
                <w:rFonts w:ascii="Times New Roman" w:hAnsi="Times New Roman" w:eastAsia="宋体" w:cs="Times New Roman"/>
                <w:lang w:val="de-DE"/>
              </w:rPr>
            </w:pPr>
            <w:r>
              <w:rPr>
                <w:rFonts w:hint="eastAsia" w:ascii="Times New Roman" w:hAnsi="Times New Roman" w:eastAsia="宋体" w:cs="Times New Roman"/>
                <w:lang w:val="de-DE"/>
              </w:rPr>
              <w:t>□GB/T28001-2011□ISO45001：2018</w:t>
            </w:r>
          </w:p>
          <w:p>
            <w:pPr>
              <w:rPr>
                <w:rFonts w:hint="eastAsia" w:ascii="Times New Roman" w:hAnsi="Times New Roman" w:eastAsia="宋体" w:cs="Times New Roman"/>
                <w:lang w:val="de-DE"/>
              </w:rPr>
            </w:pPr>
            <w:r>
              <w:rPr>
                <w:rFonts w:hint="eastAsia" w:ascii="Times New Roman" w:hAnsi="Times New Roman" w:eastAsia="宋体" w:cs="Times New Roman"/>
                <w:lang w:val="de-DE"/>
              </w:rPr>
              <w:sym w:font="Wingdings 2" w:char="0052"/>
            </w:r>
            <w:r>
              <w:rPr>
                <w:rFonts w:hint="eastAsia" w:ascii="Times New Roman" w:hAnsi="Times New Roman" w:eastAsia="宋体" w:cs="Times New Roman"/>
                <w:lang w:val="de-DE"/>
              </w:rPr>
              <w:t>GB/T 23331-202</w:t>
            </w:r>
            <w:r>
              <w:rPr>
                <w:rFonts w:hint="eastAsia" w:ascii="Times New Roman" w:hAnsi="Times New Roman" w:eastAsia="宋体" w:cs="Times New Roman"/>
                <w:lang w:val="en-US" w:eastAsia="zh-CN"/>
              </w:rPr>
              <w:t>0</w:t>
            </w:r>
            <w:r>
              <w:rPr>
                <w:rFonts w:hint="eastAsia" w:ascii="Times New Roman" w:hAnsi="Times New Roman" w:eastAsia="宋体" w:cs="Times New Roman"/>
                <w:lang w:val="de-DE"/>
              </w:rPr>
              <w:t xml:space="preserve"> </w:t>
            </w:r>
          </w:p>
          <w:p>
            <w:pPr>
              <w:rPr>
                <w:rFonts w:hint="default" w:ascii="Times New Roman" w:hAnsi="Times New Roman" w:eastAsia="宋体" w:cs="Times New Roman"/>
                <w:lang w:val="en-US" w:eastAsia="zh-CN"/>
              </w:rPr>
            </w:pPr>
            <w:r>
              <w:rPr>
                <w:rFonts w:hint="eastAsia" w:ascii="Times New Roman" w:hAnsi="Times New Roman" w:eastAsia="宋体" w:cs="Times New Roman"/>
                <w:lang w:val="de-DE"/>
              </w:rPr>
              <w:sym w:font="Wingdings 2" w:char="0052"/>
            </w:r>
            <w:r>
              <w:rPr>
                <w:rFonts w:hint="eastAsia" w:ascii="Times New Roman" w:hAnsi="Times New Roman" w:eastAsia="宋体" w:cs="Times New Roman"/>
              </w:rPr>
              <w:t>能源认证标准</w:t>
            </w:r>
            <w:r>
              <w:rPr>
                <w:rFonts w:hint="eastAsia" w:ascii="Times New Roman" w:hAnsi="Times New Roman" w:eastAsia="宋体" w:cs="Times New Roman"/>
                <w:lang w:val="de-DE"/>
              </w:rPr>
              <w:t>：RB</w:t>
            </w:r>
            <w:r>
              <w:rPr>
                <w:rFonts w:hint="eastAsia" w:ascii="Times New Roman" w:hAnsi="Times New Roman" w:eastAsia="宋体" w:cs="Times New Roman"/>
                <w:lang w:val="en-US" w:eastAsia="zh-CN"/>
              </w:rPr>
              <w:t>/T115-2014</w:t>
            </w:r>
          </w:p>
          <w:p>
            <w:pPr>
              <w:rPr>
                <w:rFonts w:ascii="Times New Roman" w:hAnsi="Times New Roman" w:eastAsia="宋体" w:cs="Times New Roman"/>
                <w:lang w:val="de-DE"/>
              </w:rPr>
            </w:pPr>
            <w:r>
              <w:rPr>
                <w:rFonts w:hint="eastAsia" w:ascii="Times New Roman" w:hAnsi="Times New Roman" w:eastAsia="宋体" w:cs="Times New Roman"/>
                <w:lang w:val="de-DE"/>
              </w:rPr>
              <w:t>FSMS：</w:t>
            </w:r>
            <w:bookmarkStart w:id="20" w:name="F勾选Add2"/>
            <w:r>
              <w:rPr>
                <w:rFonts w:hint="eastAsia" w:ascii="Times New Roman" w:hAnsi="Times New Roman" w:eastAsia="宋体" w:cs="Times New Roman"/>
                <w:lang w:val="de-DE"/>
              </w:rPr>
              <w:t>□</w:t>
            </w:r>
            <w:bookmarkEnd w:id="20"/>
            <w:r>
              <w:rPr>
                <w:rFonts w:hint="eastAsia" w:ascii="Times New Roman" w:hAnsi="Times New Roman" w:eastAsia="宋体" w:cs="Times New Roman"/>
                <w:lang w:val="de-DE"/>
              </w:rPr>
              <w:t xml:space="preserve"> GB/T22000-2006□ISO 22000-2018 </w:t>
            </w:r>
          </w:p>
          <w:p>
            <w:pPr>
              <w:rPr>
                <w:rFonts w:ascii="Times New Roman" w:hAnsi="Times New Roman" w:eastAsia="宋体" w:cs="Times New Roman"/>
                <w:lang w:val="de-DE"/>
              </w:rPr>
            </w:pPr>
            <w:r>
              <w:rPr>
                <w:rFonts w:hint="eastAsia" w:ascii="Times New Roman" w:hAnsi="Times New Roman" w:eastAsia="宋体" w:cs="Times New Roman"/>
                <w:lang w:val="de-DE"/>
              </w:rPr>
              <w:t>HACCP：</w:t>
            </w:r>
            <w:bookmarkStart w:id="21" w:name="H勾选Add2"/>
            <w:r>
              <w:rPr>
                <w:rFonts w:hint="eastAsia" w:ascii="Times New Roman" w:hAnsi="Times New Roman" w:eastAsia="宋体" w:cs="Times New Roman"/>
                <w:lang w:val="de-DE"/>
              </w:rPr>
              <w:t>□</w:t>
            </w:r>
            <w:bookmarkEnd w:id="21"/>
            <w:r>
              <w:rPr>
                <w:rFonts w:hint="eastAsia" w:ascii="Times New Roman" w:hAnsi="Times New Roman" w:eastAsia="宋体" w:cs="Times New Roman"/>
                <w:lang w:val="de-DE"/>
              </w:rPr>
              <w:t xml:space="preserve"> GB/T27341-2009□ GB 14881-2013 □《危害分析与关键控制点（HACCP体系）认证补充要求 1.0》</w:t>
            </w:r>
          </w:p>
          <w:p>
            <w:pPr>
              <w:rPr>
                <w:rFonts w:ascii="Times New Roman" w:hAnsi="Times New Roman" w:eastAsia="宋体" w:cs="Times New Roman"/>
              </w:rPr>
            </w:pPr>
            <w:r>
              <w:rPr>
                <w:rFonts w:hint="eastAsia" w:ascii="Times New Roman" w:hAnsi="Times New Roman" w:eastAsia="宋体" w:cs="Times New Roman"/>
                <w:lang w:val="de-DE"/>
              </w:rPr>
              <w:sym w:font="Wingdings 2" w:char="0052"/>
            </w:r>
            <w:r>
              <w:rPr>
                <w:rFonts w:hint="eastAsia" w:ascii="Times New Roman" w:hAnsi="Times New Roman" w:eastAsia="宋体" w:cs="Times New Roman"/>
                <w:lang w:val="de-DE"/>
              </w:rPr>
              <w:t>受审核方</w:t>
            </w:r>
            <w:r>
              <w:rPr>
                <w:rFonts w:hint="eastAsia" w:ascii="Times New Roman" w:hAnsi="Times New Roman" w:eastAsia="宋体" w:cs="Times New Roman"/>
              </w:rPr>
              <w:t>管理体系成文信息</w:t>
            </w:r>
            <w:r>
              <w:rPr>
                <w:rFonts w:hint="eastAsia" w:ascii="Times New Roman" w:hAnsi="Times New Roman" w:eastAsia="宋体" w:cs="Times New Roman"/>
                <w:lang w:val="de-DE"/>
              </w:rPr>
              <w:sym w:font="Wingdings 2" w:char="0052"/>
            </w:r>
            <w:r>
              <w:rPr>
                <w:rFonts w:hint="eastAsia" w:ascii="Times New Roman" w:hAnsi="Times New Roman" w:eastAsia="宋体" w:cs="Times New Roman"/>
              </w:rPr>
              <w:t>顾客要求</w:t>
            </w:r>
          </w:p>
          <w:p>
            <w:r>
              <w:rPr>
                <w:rFonts w:hint="eastAsia" w:ascii="Times New Roman" w:hAnsi="Times New Roman" w:eastAsia="宋体" w:cs="Times New Roman"/>
                <w:lang w:val="de-DE"/>
              </w:rPr>
              <w:sym w:font="Wingdings 2" w:char="0052"/>
            </w:r>
            <w:r>
              <w:rPr>
                <w:rFonts w:hint="eastAsia" w:ascii="Times New Roman" w:hAnsi="Times New Roman" w:eastAsia="宋体" w:cs="Times New Roman"/>
                <w:lang w:val="de-DE"/>
              </w:rPr>
              <w:t>适用于受审核方的法律法规及其他要求</w:t>
            </w:r>
            <w:r>
              <w:rPr>
                <w:rFonts w:hint="eastAsia" w:ascii="Times New Roman" w:hAnsi="Times New Roman" w:eastAsia="宋体" w:cs="Times New Roman"/>
                <w:lang w:val="de-DE"/>
              </w:rPr>
              <w:sym w:font="Wingdings 2" w:char="0052"/>
            </w:r>
            <w:r>
              <w:rPr>
                <w:rFonts w:hint="eastAsia" w:ascii="Times New Roman" w:hAnsi="Times New Roman" w:eastAsia="宋体" w:cs="Times New Roman"/>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2" w:name="二阶段勾选"/>
            <w:r>
              <w:rPr>
                <w:rFonts w:hint="eastAsia"/>
              </w:rPr>
              <w:t>■</w:t>
            </w:r>
            <w:bookmarkEnd w:id="22"/>
            <w:r>
              <w:rPr>
                <w:rFonts w:hint="eastAsia"/>
              </w:rPr>
              <w:t>初审二阶段</w:t>
            </w:r>
            <w:bookmarkStart w:id="23" w:name="监督勾选Add1"/>
            <w:r>
              <w:rPr>
                <w:rFonts w:hint="eastAsia"/>
              </w:rPr>
              <w:t>□</w:t>
            </w:r>
            <w:bookmarkEnd w:id="23"/>
            <w:r>
              <w:rPr>
                <w:rFonts w:hint="eastAsia"/>
              </w:rPr>
              <w:t>监督第</w:t>
            </w:r>
            <w:bookmarkStart w:id="24" w:name="监督次数"/>
            <w:bookmarkEnd w:id="24"/>
            <w:r>
              <w:rPr>
                <w:rFonts w:hint="eastAsia"/>
              </w:rPr>
              <w:t>次监督审核</w:t>
            </w:r>
            <w:bookmarkStart w:id="25" w:name="再认证勾选"/>
            <w:r>
              <w:rPr>
                <w:rFonts w:hint="eastAsia"/>
              </w:rPr>
              <w:t>□</w:t>
            </w:r>
            <w:bookmarkEnd w:id="25"/>
            <w:r>
              <w:rPr>
                <w:rFonts w:hint="eastAsia"/>
              </w:rPr>
              <w:t>再认证</w:t>
            </w:r>
            <w:bookmarkStart w:id="26" w:name="扩项勾选Add1"/>
            <w:r>
              <w:rPr>
                <w:rFonts w:hint="eastAsia"/>
              </w:rPr>
              <w:t>□</w:t>
            </w:r>
            <w:bookmarkEnd w:id="26"/>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vAlign w:val="top"/>
          </w:tcPr>
          <w:p>
            <w:pPr>
              <w:rPr>
                <w:rFonts w:hint="eastAsia" w:ascii="宋体" w:hAnsi="Times New Roman" w:eastAsia="宋体" w:cs="Times New Roman"/>
                <w:b/>
                <w:color w:val="0000FF"/>
                <w:szCs w:val="21"/>
                <w:lang w:val="en-US" w:eastAsia="zh-CN"/>
              </w:rPr>
            </w:pPr>
            <w:r>
              <w:rPr>
                <w:rFonts w:hint="eastAsia" w:ascii="宋体"/>
                <w:b/>
                <w:color w:val="0000FF"/>
                <w:szCs w:val="21"/>
                <w:lang w:val="en-US" w:eastAsia="zh-CN"/>
              </w:rPr>
              <w:t>马佳/深圳市；王宁敏/深圳市；李丽英/</w:t>
            </w:r>
            <w:r>
              <w:rPr>
                <w:rFonts w:hint="eastAsia" w:ascii="宋体" w:hAnsi="Times New Roman" w:eastAsia="宋体" w:cs="Times New Roman"/>
                <w:b/>
                <w:color w:val="0000FF"/>
                <w:szCs w:val="21"/>
                <w:lang w:val="en-US" w:eastAsia="zh-CN"/>
              </w:rPr>
              <w:t>石家庄石炼路1号；范玲玲/河北保定；</w:t>
            </w:r>
          </w:p>
          <w:p>
            <w:pPr>
              <w:rPr>
                <w:rFonts w:hint="default" w:ascii="宋体"/>
                <w:b/>
                <w:color w:val="0000FF"/>
                <w:szCs w:val="21"/>
                <w:lang w:val="en-US"/>
              </w:rPr>
            </w:pPr>
            <w:r>
              <w:rPr>
                <w:rFonts w:hint="eastAsia" w:ascii="宋体" w:hAnsi="Times New Roman" w:eastAsia="宋体" w:cs="Times New Roman"/>
                <w:b/>
                <w:color w:val="0000FF"/>
                <w:szCs w:val="21"/>
                <w:lang w:val="en-US" w:eastAsia="zh-CN"/>
              </w:rPr>
              <w:t>王琳/湖北省襄阳市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r>
              <w:rPr>
                <w:rFonts w:hint="eastAsia" w:ascii="Times New Roman" w:hAnsi="Times New Roman" w:eastAsia="宋体" w:cs="Times New Roman"/>
                <w:kern w:val="2"/>
                <w:sz w:val="21"/>
                <w:szCs w:val="24"/>
                <w:lang w:val="en-US" w:eastAsia="zh-CN" w:bidi="ar-SA"/>
              </w:rPr>
              <w:t>车用汽油、车用柴油、3号喷气燃料、聚合级丙烯、道路石油沥青、石油苯、石油甲苯、石油混合二甲苯、石油焦、工业用己内酰胺、肥料级硫酸铵、聚己内酰胺干切片、工业硫磺（液体）、石脑油、液化石油气（商品丙丁烷混合物）、工业纯氢、燃料油、戊烷发泡剂、工业用碳十粗芳烃、异辛烷组分生产、聚丙烯树脂的研发和生产所涉及的能源管理活动。</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2.3</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w:t>
            </w:r>
          </w:p>
          <w:p/>
        </w:tc>
        <w:tc>
          <w:tcPr>
            <w:tcW w:w="1883" w:type="dxa"/>
            <w:vAlign w:val="center"/>
          </w:tcPr>
          <w:p>
            <w:r>
              <w:rPr>
                <w:rFonts w:hint="eastAsia"/>
                <w:lang w:val="en-US" w:eastAsia="zh-CN"/>
              </w:rPr>
              <w:t>能源</w:t>
            </w:r>
            <w:r>
              <w:rPr>
                <w:rFonts w:hint="eastAsia"/>
              </w:rPr>
              <w:t>管理体系运行已超过</w:t>
            </w:r>
            <w:r>
              <w:rPr>
                <w:rFonts w:hint="eastAsia"/>
                <w:lang w:val="en-US" w:eastAsia="zh-CN"/>
              </w:rPr>
              <w:t>6</w:t>
            </w:r>
            <w:r>
              <w:rPr>
                <w:rFonts w:hint="eastAsia"/>
              </w:rPr>
              <w:t>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365"/>
        <w:gridCol w:w="1091"/>
        <w:gridCol w:w="1140"/>
        <w:gridCol w:w="3730"/>
        <w:gridCol w:w="12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365" w:type="dxa"/>
            <w:shd w:val="clear" w:color="auto" w:fill="F3F3F3"/>
            <w:tcMar>
              <w:left w:w="57" w:type="dxa"/>
              <w:right w:w="57" w:type="dxa"/>
            </w:tcMar>
          </w:tcPr>
          <w:p>
            <w:r>
              <w:rPr>
                <w:rFonts w:hint="eastAsia"/>
              </w:rPr>
              <w:t>组织名称及注册场所地址</w:t>
            </w:r>
          </w:p>
        </w:tc>
        <w:tc>
          <w:tcPr>
            <w:tcW w:w="1091" w:type="dxa"/>
            <w:shd w:val="clear" w:color="auto" w:fill="F3F3F3"/>
            <w:tcMar>
              <w:left w:w="57" w:type="dxa"/>
              <w:right w:w="57" w:type="dxa"/>
            </w:tcMar>
          </w:tcPr>
          <w:p>
            <w:r>
              <w:rPr>
                <w:rFonts w:hint="eastAsia"/>
              </w:rPr>
              <w:t>经营场所的地址</w:t>
            </w:r>
          </w:p>
          <w:p>
            <w:r>
              <w:rPr>
                <w:rFonts w:hint="eastAsia"/>
              </w:rPr>
              <w:t>（多现场和临时现场）</w:t>
            </w:r>
          </w:p>
        </w:tc>
        <w:tc>
          <w:tcPr>
            <w:tcW w:w="1140" w:type="dxa"/>
            <w:shd w:val="clear" w:color="auto" w:fill="F3F3F3"/>
            <w:tcMar>
              <w:left w:w="57" w:type="dxa"/>
              <w:right w:w="57" w:type="dxa"/>
            </w:tcMar>
          </w:tcPr>
          <w:p>
            <w:r>
              <w:rPr>
                <w:rFonts w:hint="eastAsia"/>
              </w:rPr>
              <w:t>员工人数</w:t>
            </w:r>
          </w:p>
        </w:tc>
        <w:tc>
          <w:tcPr>
            <w:tcW w:w="3730" w:type="dxa"/>
            <w:shd w:val="clear" w:color="auto" w:fill="F3F3F3"/>
            <w:tcMar>
              <w:left w:w="57" w:type="dxa"/>
              <w:right w:w="57" w:type="dxa"/>
            </w:tcMar>
          </w:tcPr>
          <w:p>
            <w:r>
              <w:rPr>
                <w:rFonts w:hint="eastAsia"/>
              </w:rPr>
              <w:t>审核范围（产品和过程）</w:t>
            </w:r>
          </w:p>
          <w:p/>
          <w:p/>
        </w:tc>
        <w:tc>
          <w:tcPr>
            <w:tcW w:w="125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ascii="Times New Roman" w:hAnsi="Times New Roman" w:eastAsia="黑体" w:cs="Times New Roman"/>
                <w:kern w:val="2"/>
                <w:sz w:val="21"/>
                <w:szCs w:val="21"/>
                <w:lang w:val="en-US" w:eastAsia="ja-JP" w:bidi="ar-SA"/>
              </w:rPr>
            </w:pPr>
            <w:r>
              <w:rPr>
                <w:rFonts w:eastAsia="黑体"/>
                <w:szCs w:val="21"/>
                <w:lang w:eastAsia="ja-JP"/>
              </w:rPr>
              <w:t>01</w:t>
            </w:r>
          </w:p>
        </w:tc>
        <w:tc>
          <w:tcPr>
            <w:tcW w:w="1365" w:type="dxa"/>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中国石油化工股份有限公司石家庄炼化分公司</w:t>
            </w:r>
            <w:r>
              <w:rPr>
                <w:rFonts w:hint="eastAsia"/>
                <w:sz w:val="21"/>
                <w:szCs w:val="21"/>
                <w:lang w:val="en-US" w:eastAsia="zh-CN"/>
              </w:rPr>
              <w:t>/</w:t>
            </w:r>
            <w:r>
              <w:rPr>
                <w:sz w:val="21"/>
                <w:szCs w:val="21"/>
              </w:rPr>
              <w:t>石家庄石炼路1号</w:t>
            </w:r>
          </w:p>
        </w:tc>
        <w:tc>
          <w:tcPr>
            <w:tcW w:w="1091"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石家庄石炼路1号</w:t>
            </w:r>
          </w:p>
        </w:tc>
        <w:tc>
          <w:tcPr>
            <w:tcW w:w="1140"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ascii="Times New Roman" w:hAnsi="Times New Roman" w:eastAsia="宋体" w:cs="Times New Roman"/>
                <w:kern w:val="2"/>
                <w:sz w:val="21"/>
                <w:szCs w:val="21"/>
                <w:lang w:val="en-US" w:eastAsia="zh-CN" w:bidi="ar-SA"/>
              </w:rPr>
              <w:t>总人数2554人，能源覆盖</w:t>
            </w:r>
            <w:r>
              <w:rPr>
                <w:rFonts w:hint="eastAsia" w:cs="Times New Roman"/>
                <w:color w:val="auto"/>
                <w:kern w:val="2"/>
                <w:sz w:val="21"/>
                <w:szCs w:val="21"/>
                <w:lang w:val="en-US" w:eastAsia="zh-CN" w:bidi="ar-SA"/>
              </w:rPr>
              <w:t>880</w:t>
            </w:r>
            <w:r>
              <w:rPr>
                <w:rFonts w:hint="eastAsia" w:ascii="Times New Roman" w:hAnsi="Times New Roman" w:eastAsia="宋体" w:cs="Times New Roman"/>
                <w:kern w:val="2"/>
                <w:sz w:val="21"/>
                <w:szCs w:val="21"/>
                <w:lang w:val="en-US" w:eastAsia="zh-CN" w:bidi="ar-SA"/>
              </w:rPr>
              <w:t>人</w:t>
            </w:r>
          </w:p>
        </w:tc>
        <w:tc>
          <w:tcPr>
            <w:tcW w:w="3730" w:type="dxa"/>
            <w:vAlign w:val="center"/>
          </w:tcPr>
          <w:p>
            <w:pPr>
              <w:pStyle w:val="23"/>
              <w:rPr>
                <w:rFonts w:ascii="Times New Roman" w:hAnsi="Times New Roman" w:eastAsia="黑体" w:cs="Arial"/>
                <w:kern w:val="2"/>
                <w:sz w:val="21"/>
                <w:szCs w:val="21"/>
                <w:lang w:val="en-US" w:eastAsia="ja-JP" w:bidi="ar-SA"/>
              </w:rPr>
            </w:pPr>
            <w:r>
              <w:rPr>
                <w:rFonts w:hint="eastAsia" w:ascii="Times New Roman" w:hAnsi="Times New Roman" w:eastAsia="宋体" w:cs="Times New Roman"/>
                <w:kern w:val="2"/>
                <w:sz w:val="21"/>
                <w:szCs w:val="24"/>
                <w:lang w:val="en-US" w:eastAsia="zh-CN" w:bidi="ar-SA"/>
              </w:rPr>
              <w:t>车用汽油、车用柴油、3号喷气燃料、聚合级丙烯、道路石油沥青、石油苯、石油甲苯、石油混合二甲苯、石油焦、工业用己内酰胺、肥料级硫酸铵、聚己内酰胺干切片、工业硫磺（液体）、石脑油、液化石油气（商品丙丁烷混合物）、工业纯氢、燃料油、戊烷发泡剂、工业用碳十粗芳烃、异辛烷组分生产、聚丙烯树脂的研发和生产所涉及的能源管理活动。</w:t>
            </w:r>
          </w:p>
        </w:tc>
        <w:tc>
          <w:tcPr>
            <w:tcW w:w="1251" w:type="dxa"/>
            <w:vAlign w:val="center"/>
          </w:tcPr>
          <w:p>
            <w:pPr>
              <w:spacing w:before="40" w:after="40"/>
              <w:rPr>
                <w:rFonts w:hint="eastAsia"/>
                <w:lang w:val="en-US" w:eastAsia="zh-CN"/>
              </w:rPr>
            </w:pPr>
            <w:r>
              <w:rPr>
                <w:rFonts w:hint="eastAsia"/>
                <w:lang w:val="en-US" w:eastAsia="zh-CN"/>
              </w:rPr>
              <w:t>GB/T23331-2020</w:t>
            </w:r>
          </w:p>
          <w:p>
            <w:pPr>
              <w:pStyle w:val="3"/>
              <w:rPr>
                <w:rFonts w:hint="default" w:ascii="Times New Roman" w:hAnsi="Times New Roman" w:eastAsia="宋体" w:cs="Times New Roman"/>
                <w:kern w:val="2"/>
                <w:sz w:val="24"/>
                <w:szCs w:val="24"/>
                <w:lang w:val="en-US" w:eastAsia="ja-JP" w:bidi="ar-SA"/>
              </w:rPr>
            </w:pPr>
            <w:r>
              <w:rPr>
                <w:rFonts w:hint="eastAsia" w:ascii="Times New Roman" w:hAnsi="Times New Roman" w:eastAsia="宋体" w:cs="Times New Roman"/>
                <w:kern w:val="2"/>
                <w:sz w:val="21"/>
                <w:szCs w:val="24"/>
                <w:lang w:val="en-US" w:eastAsia="zh-CN" w:bidi="ar-SA"/>
              </w:rPr>
              <w:t>RB/T115-2014</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365" w:type="dxa"/>
            <w:vAlign w:val="center"/>
          </w:tcPr>
          <w:p>
            <w:pPr>
              <w:rPr>
                <w:lang w:eastAsia="ja-JP"/>
              </w:rPr>
            </w:pPr>
          </w:p>
        </w:tc>
        <w:tc>
          <w:tcPr>
            <w:tcW w:w="1091" w:type="dxa"/>
            <w:vAlign w:val="center"/>
          </w:tcPr>
          <w:p>
            <w:pPr>
              <w:rPr>
                <w:lang w:eastAsia="ja-JP"/>
              </w:rPr>
            </w:pPr>
          </w:p>
        </w:tc>
        <w:tc>
          <w:tcPr>
            <w:tcW w:w="1140" w:type="dxa"/>
            <w:vAlign w:val="center"/>
          </w:tcPr>
          <w:p>
            <w:pPr>
              <w:rPr>
                <w:lang w:eastAsia="ja-JP"/>
              </w:rPr>
            </w:pPr>
          </w:p>
        </w:tc>
        <w:tc>
          <w:tcPr>
            <w:tcW w:w="3730" w:type="dxa"/>
            <w:vAlign w:val="center"/>
          </w:tcPr>
          <w:p>
            <w:pPr>
              <w:rPr>
                <w:lang w:eastAsia="ja-JP"/>
              </w:rPr>
            </w:pPr>
          </w:p>
        </w:tc>
        <w:tc>
          <w:tcPr>
            <w:tcW w:w="12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365" w:type="dxa"/>
            <w:vAlign w:val="center"/>
          </w:tcPr>
          <w:p>
            <w:pPr>
              <w:rPr>
                <w:lang w:eastAsia="ja-JP"/>
              </w:rPr>
            </w:pPr>
          </w:p>
        </w:tc>
        <w:tc>
          <w:tcPr>
            <w:tcW w:w="1091" w:type="dxa"/>
            <w:vAlign w:val="center"/>
          </w:tcPr>
          <w:p>
            <w:pPr>
              <w:rPr>
                <w:lang w:eastAsia="ja-JP"/>
              </w:rPr>
            </w:pPr>
          </w:p>
        </w:tc>
        <w:tc>
          <w:tcPr>
            <w:tcW w:w="1140" w:type="dxa"/>
            <w:vAlign w:val="center"/>
          </w:tcPr>
          <w:p>
            <w:pPr>
              <w:rPr>
                <w:lang w:eastAsia="ja-JP"/>
              </w:rPr>
            </w:pPr>
          </w:p>
        </w:tc>
        <w:tc>
          <w:tcPr>
            <w:tcW w:w="3730" w:type="dxa"/>
            <w:vAlign w:val="center"/>
          </w:tcPr>
          <w:p>
            <w:pPr>
              <w:rPr>
                <w:lang w:eastAsia="ja-JP"/>
              </w:rPr>
            </w:pPr>
          </w:p>
        </w:tc>
        <w:tc>
          <w:tcPr>
            <w:tcW w:w="12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1365" w:type="dxa"/>
            <w:vAlign w:val="center"/>
          </w:tcPr>
          <w:p>
            <w:pPr>
              <w:rPr>
                <w:lang w:eastAsia="ja-JP"/>
              </w:rPr>
            </w:pPr>
          </w:p>
        </w:tc>
        <w:tc>
          <w:tcPr>
            <w:tcW w:w="1091" w:type="dxa"/>
            <w:vAlign w:val="center"/>
          </w:tcPr>
          <w:p>
            <w:pPr>
              <w:rPr>
                <w:lang w:eastAsia="ja-JP"/>
              </w:rPr>
            </w:pPr>
          </w:p>
        </w:tc>
        <w:tc>
          <w:tcPr>
            <w:tcW w:w="1140" w:type="dxa"/>
            <w:vAlign w:val="center"/>
          </w:tcPr>
          <w:p>
            <w:pPr>
              <w:rPr>
                <w:lang w:eastAsia="ja-JP"/>
              </w:rPr>
            </w:pPr>
          </w:p>
        </w:tc>
        <w:tc>
          <w:tcPr>
            <w:tcW w:w="3730" w:type="dxa"/>
            <w:vAlign w:val="center"/>
          </w:tcPr>
          <w:p>
            <w:pPr>
              <w:rPr>
                <w:lang w:eastAsia="ja-JP"/>
              </w:rPr>
            </w:pPr>
          </w:p>
        </w:tc>
        <w:tc>
          <w:tcPr>
            <w:tcW w:w="12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365" w:type="dxa"/>
            <w:vAlign w:val="center"/>
          </w:tcPr>
          <w:p>
            <w:pPr>
              <w:rPr>
                <w:lang w:eastAsia="ja-JP"/>
              </w:rPr>
            </w:pPr>
          </w:p>
        </w:tc>
        <w:tc>
          <w:tcPr>
            <w:tcW w:w="1091" w:type="dxa"/>
            <w:vAlign w:val="center"/>
          </w:tcPr>
          <w:p>
            <w:pPr>
              <w:rPr>
                <w:lang w:eastAsia="ja-JP"/>
              </w:rPr>
            </w:pPr>
          </w:p>
        </w:tc>
        <w:tc>
          <w:tcPr>
            <w:tcW w:w="1140" w:type="dxa"/>
            <w:vAlign w:val="center"/>
          </w:tcPr>
          <w:p>
            <w:pPr>
              <w:rPr>
                <w:lang w:eastAsia="ja-JP"/>
              </w:rPr>
            </w:pPr>
          </w:p>
        </w:tc>
        <w:tc>
          <w:tcPr>
            <w:tcW w:w="3730" w:type="dxa"/>
            <w:vAlign w:val="center"/>
          </w:tcPr>
          <w:p>
            <w:pPr>
              <w:rPr>
                <w:lang w:eastAsia="ja-JP"/>
              </w:rPr>
            </w:pPr>
          </w:p>
        </w:tc>
        <w:tc>
          <w:tcPr>
            <w:tcW w:w="125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2020-N1EnMS-3021820</w:t>
            </w:r>
          </w:p>
        </w:tc>
        <w:tc>
          <w:tcPr>
            <w:tcW w:w="2179" w:type="dxa"/>
            <w:vAlign w:val="center"/>
          </w:tcPr>
          <w:p>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王宁敏</w:t>
            </w:r>
          </w:p>
        </w:tc>
        <w:tc>
          <w:tcPr>
            <w:tcW w:w="1089" w:type="dxa"/>
            <w:vAlign w:val="center"/>
          </w:tcPr>
          <w:p>
            <w:r>
              <w:t>组员</w:t>
            </w:r>
          </w:p>
        </w:tc>
        <w:tc>
          <w:tcPr>
            <w:tcW w:w="711" w:type="dxa"/>
            <w:vAlign w:val="center"/>
          </w:tcPr>
          <w:p>
            <w:r>
              <w:t>男</w:t>
            </w:r>
          </w:p>
        </w:tc>
        <w:tc>
          <w:tcPr>
            <w:tcW w:w="3870" w:type="dxa"/>
            <w:vAlign w:val="center"/>
          </w:tcPr>
          <w:p>
            <w:r>
              <w:t>2021-N1EnMS-3061496</w:t>
            </w:r>
          </w:p>
        </w:tc>
        <w:tc>
          <w:tcPr>
            <w:tcW w:w="2179" w:type="dxa"/>
            <w:vAlign w:val="center"/>
          </w:tcPr>
          <w:p>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马佳</w:t>
            </w:r>
          </w:p>
        </w:tc>
        <w:tc>
          <w:tcPr>
            <w:tcW w:w="1089" w:type="dxa"/>
            <w:vAlign w:val="center"/>
          </w:tcPr>
          <w:p>
            <w:r>
              <w:t>组员</w:t>
            </w:r>
          </w:p>
        </w:tc>
        <w:tc>
          <w:tcPr>
            <w:tcW w:w="711" w:type="dxa"/>
            <w:vAlign w:val="center"/>
          </w:tcPr>
          <w:p>
            <w:r>
              <w:t>女</w:t>
            </w:r>
          </w:p>
        </w:tc>
        <w:tc>
          <w:tcPr>
            <w:tcW w:w="3870" w:type="dxa"/>
            <w:vAlign w:val="center"/>
          </w:tcPr>
          <w:p>
            <w:r>
              <w:t>2020-N1EnMS-2061499</w:t>
            </w:r>
          </w:p>
        </w:tc>
        <w:tc>
          <w:tcPr>
            <w:tcW w:w="2179" w:type="dxa"/>
            <w:vAlign w:val="center"/>
          </w:tcPr>
          <w:p>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王琳</w:t>
            </w:r>
          </w:p>
        </w:tc>
        <w:tc>
          <w:tcPr>
            <w:tcW w:w="1089" w:type="dxa"/>
            <w:vAlign w:val="center"/>
          </w:tcPr>
          <w:p>
            <w:r>
              <w:t>组员</w:t>
            </w:r>
          </w:p>
        </w:tc>
        <w:tc>
          <w:tcPr>
            <w:tcW w:w="711" w:type="dxa"/>
            <w:vAlign w:val="center"/>
          </w:tcPr>
          <w:p>
            <w:r>
              <w:t>女</w:t>
            </w:r>
          </w:p>
        </w:tc>
        <w:tc>
          <w:tcPr>
            <w:tcW w:w="3870" w:type="dxa"/>
            <w:vAlign w:val="center"/>
          </w:tcPr>
          <w:p>
            <w:r>
              <w:t>2022-N1EnMS-1254369</w:t>
            </w:r>
          </w:p>
        </w:tc>
        <w:tc>
          <w:tcPr>
            <w:tcW w:w="2179" w:type="dxa"/>
            <w:vAlign w:val="center"/>
          </w:tcPr>
          <w:p>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748" w:type="dxa"/>
            <w:vAlign w:val="center"/>
          </w:tcPr>
          <w:p>
            <w:pPr>
              <w:rPr>
                <w:rFonts w:hint="default" w:eastAsia="宋体"/>
                <w:lang w:val="en-US" w:eastAsia="zh-CN"/>
              </w:rPr>
            </w:pPr>
            <w:r>
              <w:rPr>
                <w:rFonts w:hint="eastAsia"/>
                <w:lang w:val="en-US" w:eastAsia="zh-CN"/>
              </w:rPr>
              <w:t>范玲玲</w:t>
            </w:r>
          </w:p>
        </w:tc>
        <w:tc>
          <w:tcPr>
            <w:tcW w:w="1089" w:type="dxa"/>
            <w:vAlign w:val="center"/>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组员</w:t>
            </w:r>
          </w:p>
        </w:tc>
        <w:tc>
          <w:tcPr>
            <w:tcW w:w="711" w:type="dxa"/>
            <w:vAlign w:val="center"/>
          </w:tcPr>
          <w:p>
            <w:pPr>
              <w:rPr>
                <w:rFonts w:ascii="Times New Roman" w:hAnsi="Times New Roman" w:eastAsia="宋体" w:cs="Times New Roman"/>
                <w:lang w:val="de-DE" w:eastAsia="zh-CN"/>
              </w:rPr>
            </w:pPr>
            <w:r>
              <w:rPr>
                <w:rFonts w:ascii="Times New Roman" w:hAnsi="Times New Roman" w:eastAsia="宋体" w:cs="Times New Roman"/>
                <w:lang w:val="de-DE"/>
              </w:rPr>
              <w:t>女</w:t>
            </w:r>
          </w:p>
        </w:tc>
        <w:tc>
          <w:tcPr>
            <w:tcW w:w="3870" w:type="dxa"/>
            <w:vAlign w:val="center"/>
          </w:tcPr>
          <w:p>
            <w:pPr>
              <w:rPr>
                <w:rFonts w:ascii="Times New Roman" w:hAnsi="Times New Roman" w:eastAsia="宋体" w:cs="Times New Roman"/>
                <w:lang w:val="de-DE" w:eastAsia="zh-CN"/>
              </w:rPr>
            </w:pPr>
            <w:r>
              <w:rPr>
                <w:rFonts w:ascii="Times New Roman" w:hAnsi="Times New Roman" w:eastAsia="宋体" w:cs="Times New Roman"/>
                <w:lang w:val="de-DE"/>
              </w:rPr>
              <w:t>2022-N1EnMS-1024421</w:t>
            </w:r>
          </w:p>
        </w:tc>
        <w:tc>
          <w:tcPr>
            <w:tcW w:w="2179" w:type="dxa"/>
            <w:vAlign w:val="center"/>
          </w:tcPr>
          <w:p>
            <w:pPr>
              <w:pStyle w:val="14"/>
              <w:rPr>
                <w:lang w:val="de-DE" w:eastAsia="zh-CN"/>
              </w:rPr>
            </w:pPr>
            <w:r>
              <w:rPr>
                <w:lang w:val="de-DE"/>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（见□QMS □EcMS</w:t>
      </w:r>
      <w:r>
        <w:rPr>
          <w:rFonts w:hint="eastAsia"/>
        </w:rPr>
        <w:sym w:font="Wingdings 2" w:char="0052"/>
      </w:r>
      <w:r>
        <w:rPr>
          <w:rFonts w:hint="eastAsia"/>
        </w:rPr>
        <w:t>E</w:t>
      </w:r>
      <w:r>
        <w:rPr>
          <w:rFonts w:hint="eastAsia"/>
          <w:lang w:val="en-US" w:eastAsia="zh-CN"/>
        </w:rPr>
        <w:t>n</w:t>
      </w:r>
      <w:r>
        <w:rPr>
          <w:rFonts w:hint="eastAsia"/>
        </w:rPr>
        <w:t>MS□OHSMS）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一阶段问题已整改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vAlign w:val="top"/>
          </w:tcPr>
          <w:p>
            <w:pPr>
              <w:rPr>
                <w:rFonts w:hint="eastAsia" w:ascii="Times New Roman" w:hAnsi="Times New Roman" w:eastAsia="宋体" w:cs="Times New Roman"/>
                <w:kern w:val="2"/>
                <w:sz w:val="21"/>
                <w:szCs w:val="24"/>
                <w:lang w:val="en-US" w:eastAsia="zh-CN" w:bidi="ar-SA"/>
              </w:rPr>
            </w:pPr>
            <w:r>
              <w:rPr>
                <w:rFonts w:hint="eastAsia"/>
              </w:rPr>
              <w:t>E</w:t>
            </w:r>
            <w:r>
              <w:rPr>
                <w:rFonts w:hint="eastAsia"/>
                <w:lang w:val="en-US" w:eastAsia="zh-CN"/>
              </w:rPr>
              <w:t>n</w:t>
            </w:r>
            <w:r>
              <w:rPr>
                <w:rFonts w:hint="eastAsia"/>
              </w:rPr>
              <w:t>MS</w:t>
            </w:r>
          </w:p>
        </w:tc>
        <w:tc>
          <w:tcPr>
            <w:tcW w:w="1698" w:type="dxa"/>
            <w:vAlign w:val="top"/>
          </w:tcPr>
          <w:p>
            <w:pP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w:t>
            </w:r>
          </w:p>
        </w:tc>
        <w:tc>
          <w:tcPr>
            <w:tcW w:w="1717" w:type="dxa"/>
            <w:vAlign w:val="top"/>
          </w:tcPr>
          <w:p>
            <w:pP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0</w:t>
            </w:r>
          </w:p>
        </w:tc>
        <w:tc>
          <w:tcPr>
            <w:tcW w:w="1560" w:type="dxa"/>
            <w:vAlign w:val="top"/>
          </w:tcPr>
          <w:p>
            <w:pP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w:t>
            </w:r>
          </w:p>
        </w:tc>
        <w:tc>
          <w:tcPr>
            <w:tcW w:w="2965" w:type="dxa"/>
            <w:vAlign w:val="top"/>
          </w:tcPr>
          <w:p>
            <w:pPr>
              <w:rPr>
                <w:rFonts w:hint="eastAsia" w:ascii="Times New Roman" w:hAnsi="Times New Roman" w:eastAsia="宋体" w:cs="Times New Roman"/>
                <w:kern w:val="2"/>
                <w:sz w:val="21"/>
                <w:szCs w:val="24"/>
                <w:lang w:val="en-US" w:eastAsia="zh-CN" w:bidi="ar-SA"/>
              </w:rPr>
            </w:pPr>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w:t>
            </w:r>
            <w:r>
              <w:rPr>
                <w:rFonts w:hint="eastAsia"/>
                <w:lang w:val="en-US" w:eastAsia="zh-CN"/>
              </w:rPr>
              <w:t>变更后</w:t>
            </w:r>
            <w:r>
              <w:rPr>
                <w:rFonts w:hint="eastAsia"/>
              </w:rPr>
              <w:t>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r>
              <w:rPr>
                <w:rFonts w:hint="eastAsia"/>
              </w:rPr>
              <w:t>E</w:t>
            </w:r>
            <w:r>
              <w:rPr>
                <w:rFonts w:hint="eastAsia"/>
                <w:lang w:val="en-US" w:eastAsia="zh-CN"/>
              </w:rPr>
              <w:t>n</w:t>
            </w:r>
            <w:r>
              <w:rPr>
                <w:rFonts w:hint="eastAsia"/>
              </w:rPr>
              <w:t>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r>
              <w:drawing>
                <wp:anchor distT="0" distB="0" distL="114300" distR="114300" simplePos="0" relativeHeight="251665408" behindDoc="0" locked="0" layoutInCell="1" allowOverlap="1">
                  <wp:simplePos x="0" y="0"/>
                  <wp:positionH relativeFrom="column">
                    <wp:posOffset>257810</wp:posOffset>
                  </wp:positionH>
                  <wp:positionV relativeFrom="paragraph">
                    <wp:posOffset>-7305040</wp:posOffset>
                  </wp:positionV>
                  <wp:extent cx="673100" cy="274955"/>
                  <wp:effectExtent l="0" t="0" r="0" b="3810"/>
                  <wp:wrapSquare wrapText="bothSides"/>
                  <wp:docPr id="3" name="图片 3"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丽英电子签"/>
                          <pic:cNvPicPr>
                            <a:picLocks noChangeAspect="1"/>
                          </pic:cNvPicPr>
                        </pic:nvPicPr>
                        <pic:blipFill>
                          <a:blip r:embed="rId8"/>
                          <a:stretch>
                            <a:fillRect/>
                          </a:stretch>
                        </pic:blipFill>
                        <pic:spPr>
                          <a:xfrm>
                            <a:off x="0" y="0"/>
                            <a:ext cx="673100" cy="274955"/>
                          </a:xfrm>
                          <a:prstGeom prst="rect">
                            <a:avLst/>
                          </a:prstGeom>
                          <a:noFill/>
                          <a:ln>
                            <a:noFill/>
                          </a:ln>
                        </pic:spPr>
                      </pic:pic>
                    </a:graphicData>
                  </a:graphic>
                </wp:anchor>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lang w:val="en-US" w:eastAsia="zh-CN"/>
              </w:rPr>
              <w:t>2022.12.30</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rPr>
                      <w:rFonts w:hint="eastAsia"/>
                    </w:rPr>
                    <w:t>活动、产品和服务</w:t>
                  </w:r>
                  <w:r>
                    <w:rPr>
                      <w:rFonts w:hint="eastAsia"/>
                    </w:rPr>
                    <w:sym w:font="Wingdings 2" w:char="0052"/>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A3"/>
                  </w: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满足限额要求</w:t>
            </w:r>
            <w:r>
              <w:rPr>
                <w:rFonts w:hint="eastAsia"/>
              </w:rPr>
              <w:sym w:font="Wingdings 2" w:char="0052"/>
            </w:r>
            <w:r>
              <w:rPr>
                <w:rFonts w:hint="eastAsia"/>
              </w:rPr>
              <w:t>主要用能设备管理</w:t>
            </w:r>
            <w:r>
              <w:rPr>
                <w:rFonts w:hint="eastAsia"/>
              </w:rPr>
              <w:sym w:font="Wingdings 2" w:char="0052"/>
            </w:r>
            <w:r>
              <w:rPr>
                <w:rFonts w:hint="eastAsia"/>
              </w:rPr>
              <w:t>能耗测量</w:t>
            </w:r>
          </w:p>
          <w:p>
            <w:pPr>
              <w:shd w:val="clear" w:color="auto" w:fill="EBF1DE" w:themeFill="accent3" w:themeFillTint="32"/>
              <w:spacing w:before="40" w:after="40"/>
            </w:pPr>
            <w:r>
              <w:rPr>
                <w:rFonts w:hint="eastAsia"/>
              </w:rPr>
              <w:sym w:font="Wingdings 2" w:char="0052"/>
            </w: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生产/服务过程</w:t>
            </w:r>
            <w:r>
              <w:rPr>
                <w:rFonts w:hint="eastAsia"/>
              </w:rPr>
              <w:sym w:font="Wingdings 2" w:char="0052"/>
            </w:r>
            <w:r>
              <w:rPr>
                <w:rFonts w:hint="eastAsia"/>
              </w:rPr>
              <w:t>能效监测</w:t>
            </w:r>
            <w:r>
              <w:rPr>
                <w:rFonts w:hint="eastAsia"/>
              </w:rPr>
              <w:sym w:font="Wingdings 2" w:char="0052"/>
            </w:r>
            <w:r>
              <w:rPr>
                <w:rFonts w:hint="eastAsia"/>
              </w:rPr>
              <w:t>设备维修</w:t>
            </w:r>
            <w:r>
              <w:rPr>
                <w:rFonts w:hint="eastAsia"/>
              </w:rPr>
              <w:sym w:font="Wingdings 2" w:char="0052"/>
            </w:r>
            <w:r>
              <w:rPr>
                <w:rFonts w:hint="eastAsia"/>
              </w:rPr>
              <w:t>人员培训</w:t>
            </w:r>
            <w:r>
              <w:rPr>
                <w:rFonts w:hint="eastAsia"/>
              </w:rPr>
              <w:sym w:font="Wingdings 2" w:char="0052"/>
            </w:r>
            <w:r>
              <w:rPr>
                <w:rFonts w:hint="eastAsia"/>
              </w:rPr>
              <w:t>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r>
              <w:rPr>
                <w:rFonts w:hint="eastAsia"/>
                <w:sz w:val="21"/>
                <w:szCs w:val="21"/>
                <w:highlight w:val="none"/>
              </w:rPr>
              <w:t>“遵章守法、绿色低碳”</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EnMS</w:t>
            </w:r>
            <w:r>
              <w:rPr>
                <w:rFonts w:hint="eastAsia"/>
                <w:lang w:val="en-US" w:eastAsia="zh-CN"/>
              </w:rPr>
              <w:t>策划</w:t>
            </w:r>
            <w:r>
              <w:rPr>
                <w:rFonts w:hint="eastAsia"/>
              </w:rPr>
              <w:t>部门是——</w:t>
            </w:r>
            <w:r>
              <w:rPr>
                <w:rFonts w:hint="eastAsia"/>
                <w:highlight w:val="none"/>
                <w:lang w:val="en-US" w:eastAsia="zh-CN"/>
              </w:rPr>
              <w:t>企业管理部</w:t>
            </w:r>
            <w:r>
              <w:rPr>
                <w:rFonts w:hint="eastAsia"/>
                <w:lang w:val="en-US" w:eastAsia="zh-CN"/>
              </w:rPr>
              <w:t xml:space="preserve"> </w:t>
            </w:r>
            <w:r>
              <w:rPr>
                <w:rFonts w:hint="eastAsia"/>
              </w:rPr>
              <w:sym w:font="Wingdings 2" w:char="0052"/>
            </w:r>
            <w:r>
              <w:rPr>
                <w:rFonts w:hint="eastAsia"/>
              </w:rPr>
              <w:t>能源管理团队</w:t>
            </w:r>
            <w:r>
              <w:rPr>
                <w:rFonts w:hint="eastAsia"/>
                <w:lang w:eastAsia="zh-CN"/>
              </w:rPr>
              <w:t>——</w:t>
            </w:r>
            <w:r>
              <w:rPr>
                <w:rFonts w:hint="eastAsia"/>
                <w:highlight w:val="none"/>
                <w:lang w:val="en-US" w:eastAsia="zh-CN"/>
              </w:rPr>
              <w:t>生产技术部</w:t>
            </w:r>
          </w:p>
          <w:p>
            <w:pPr>
              <w:shd w:val="clear" w:color="auto" w:fill="EBF1DE" w:themeFill="accent3" w:themeFillTint="32"/>
              <w:rPr>
                <w:rFonts w:hint="eastAsia" w:eastAsia="宋体"/>
                <w:lang w:val="en-US" w:eastAsia="zh-CN"/>
              </w:rPr>
            </w:pPr>
            <w:r>
              <w:rPr>
                <w:rFonts w:hint="eastAsia"/>
              </w:rPr>
              <w:t>能源管理团队负责人是——</w:t>
            </w:r>
            <w:r>
              <w:rPr>
                <w:rFonts w:hint="eastAsia"/>
                <w:highlight w:val="none"/>
                <w:lang w:val="en-US" w:eastAsia="zh-CN"/>
              </w:rPr>
              <w:t>齐庆轩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法律法规的变化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及时更新掌握法律部法规的变化，进行合规性评价</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能源供应的中断</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及时了解供方的生产经营情况，寻求备用能源</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能源结构的变化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了解新能源的优势，及时调整</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能源使用包括(必要时，按每个场所来描述):（不必全选）</w:t>
            </w:r>
          </w:p>
          <w:p>
            <w:pPr>
              <w:shd w:val="clear" w:color="auto" w:fill="EBF1DE" w:themeFill="accent3" w:themeFillTint="32"/>
              <w:spacing w:before="40" w:after="40"/>
            </w:pPr>
            <w:r>
              <w:rPr>
                <w:rFonts w:hint="eastAsia"/>
              </w:rPr>
              <w:sym w:font="Wingdings 2" w:char="0052"/>
            </w:r>
            <w:r>
              <w:rPr>
                <w:rFonts w:hint="eastAsia"/>
              </w:rPr>
              <w:t>蒸汽</w:t>
            </w:r>
            <w:r>
              <w:rPr>
                <w:rFonts w:hint="eastAsia"/>
                <w:highlight w:val="none"/>
              </w:rPr>
              <w:sym w:font="Wingdings 2" w:char="0052"/>
            </w:r>
            <w:r>
              <w:rPr>
                <w:rFonts w:hint="eastAsia"/>
                <w:highlight w:val="none"/>
              </w:rPr>
              <w:t>天然气</w:t>
            </w:r>
            <w:r>
              <w:rPr>
                <w:rFonts w:hint="eastAsia"/>
                <w:highlight w:val="none"/>
              </w:rPr>
              <w:sym w:font="Wingdings 2" w:char="0052"/>
            </w:r>
            <w:r>
              <w:rPr>
                <w:rFonts w:hint="eastAsia"/>
                <w:highlight w:val="none"/>
              </w:rPr>
              <w:t>燃料油</w:t>
            </w:r>
            <w:r>
              <w:rPr>
                <w:rFonts w:hint="eastAsia"/>
              </w:rPr>
              <w:sym w:font="Wingdings 2" w:char="0052"/>
            </w:r>
            <w:r>
              <w:rPr>
                <w:rFonts w:hint="eastAsia"/>
              </w:rPr>
              <w:t>燃料气</w:t>
            </w:r>
            <w:r>
              <w:rPr>
                <w:rFonts w:hint="eastAsia"/>
              </w:rPr>
              <w:sym w:font="Wingdings 2" w:char="0052"/>
            </w:r>
            <w:r>
              <w:rPr>
                <w:rFonts w:hint="eastAsia"/>
              </w:rPr>
              <w:t>电力</w:t>
            </w:r>
            <w:r>
              <w:rPr>
                <w:rFonts w:hint="eastAsia"/>
              </w:rPr>
              <w:sym w:font="Wingdings 2" w:char="0052"/>
            </w:r>
            <w:r>
              <w:rPr>
                <w:rFonts w:hint="eastAsia"/>
              </w:rPr>
              <w:t>氮气</w:t>
            </w:r>
            <w:r>
              <w:rPr>
                <w:rFonts w:hint="eastAsia"/>
              </w:rPr>
              <w:sym w:font="Wingdings 2" w:char="0052"/>
            </w:r>
            <w:r>
              <w:rPr>
                <w:rFonts w:hint="eastAsia"/>
              </w:rPr>
              <w:t>风</w:t>
            </w:r>
            <w:r>
              <w:rPr>
                <w:rFonts w:hint="eastAsia"/>
              </w:rPr>
              <w:sym w:font="Wingdings 2" w:char="0052"/>
            </w:r>
            <w:r>
              <w:rPr>
                <w:rFonts w:hint="eastAsia"/>
              </w:rPr>
              <w:t>新鲜水</w:t>
            </w:r>
            <w:r>
              <w:rPr>
                <w:rFonts w:hint="eastAsia"/>
              </w:rPr>
              <w:sym w:font="Wingdings 2" w:char="0052"/>
            </w:r>
            <w:r>
              <w:rPr>
                <w:rFonts w:hint="eastAsia"/>
              </w:rPr>
              <w:t>各种品质水</w:t>
            </w:r>
            <w:r>
              <w:rPr>
                <w:rFonts w:hint="eastAsia"/>
                <w:lang w:eastAsia="zh-CN"/>
              </w:rPr>
              <w:t>——</w:t>
            </w:r>
          </w:p>
          <w:p>
            <w:pPr>
              <w:jc w:val="left"/>
              <w:rPr>
                <w:rFonts w:hint="default" w:eastAsia="宋体"/>
                <w:lang w:val="en-US" w:eastAsia="zh-CN"/>
              </w:rPr>
            </w:pPr>
            <w:r>
              <w:rPr>
                <w:rFonts w:hint="eastAsia"/>
              </w:rPr>
              <w:t>□其他</w:t>
            </w:r>
            <w:r>
              <w:rPr>
                <w:rFonts w:hint="eastAsia"/>
                <w:lang w:eastAsia="zh-CN"/>
              </w:rPr>
              <w:t>——</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rPr>
              <w:sym w:font="Wingdings 2" w:char="0052"/>
            </w:r>
            <w:r>
              <w:rPr>
                <w:rFonts w:hint="eastAsia"/>
              </w:rPr>
              <w:t>单位产品综合能耗</w:t>
            </w:r>
            <w:r>
              <w:rPr>
                <w:rFonts w:hint="eastAsia"/>
              </w:rPr>
              <w:sym w:font="Wingdings 2" w:char="0052"/>
            </w:r>
            <w:r>
              <w:rPr>
                <w:rFonts w:hint="eastAsia"/>
              </w:rPr>
              <w:t>能源消费总量□单位产品蒸汽消耗□单位产品燃料气消耗</w:t>
            </w:r>
            <w:r>
              <w:rPr>
                <w:rFonts w:hint="eastAsia"/>
              </w:rPr>
              <w:sym w:font="Wingdings 2" w:char="0052"/>
            </w:r>
            <w:r>
              <w:rPr>
                <w:rFonts w:hint="eastAsia"/>
              </w:rPr>
              <w:t>加热炉热效率□其他</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rPr>
                <w:rFonts w:hint="default" w:eastAsia="宋体"/>
                <w:lang w:val="en-US" w:eastAsia="zh-CN"/>
              </w:rPr>
            </w:pPr>
            <w:r>
              <w:rPr>
                <w:rFonts w:hint="eastAsia"/>
              </w:rPr>
              <w:sym w:font="Wingdings 2" w:char="0052"/>
            </w:r>
            <w:r>
              <w:rPr>
                <w:rFonts w:hint="eastAsia"/>
              </w:rPr>
              <w:t>节能评估报告编号/日期：</w:t>
            </w:r>
            <w:r>
              <w:rPr>
                <w:rFonts w:hint="eastAsia"/>
                <w:highlight w:val="none"/>
                <w:lang w:val="en-US" w:eastAsia="zh-CN"/>
              </w:rPr>
              <w:t>2021年5月12日</w:t>
            </w:r>
          </w:p>
          <w:p>
            <w:pPr>
              <w:shd w:val="clear" w:color="auto" w:fill="EBF1DE" w:themeFill="accent3" w:themeFillTint="32"/>
              <w:rPr>
                <w:rFonts w:hint="default" w:eastAsia="宋体"/>
                <w:lang w:val="en-US" w:eastAsia="zh-CN"/>
              </w:rPr>
            </w:pPr>
            <w:r>
              <w:rPr>
                <w:rFonts w:hint="eastAsia"/>
              </w:rPr>
              <w:sym w:font="Wingdings 2" w:char="0052"/>
            </w:r>
            <w:r>
              <w:rPr>
                <w:rFonts w:hint="eastAsia"/>
              </w:rPr>
              <w:t>能源评审报告编号/日期：</w:t>
            </w:r>
            <w:r>
              <w:rPr>
                <w:rFonts w:hint="eastAsia"/>
                <w:highlight w:val="none"/>
                <w:lang w:val="en-US" w:eastAsia="zh-CN"/>
              </w:rPr>
              <w:t>2022.3</w:t>
            </w:r>
          </w:p>
          <w:p>
            <w:pPr>
              <w:shd w:val="clear" w:color="auto" w:fill="EBF1DE" w:themeFill="accent3" w:themeFillTint="32"/>
              <w:rPr>
                <w:rFonts w:hint="eastAsia" w:eastAsia="宋体"/>
                <w:lang w:val="en-US" w:eastAsia="zh-CN"/>
              </w:rPr>
            </w:pPr>
            <w:r>
              <w:rPr>
                <w:rFonts w:hint="eastAsia"/>
              </w:rPr>
              <w:sym w:font="Wingdings 2" w:char="0052"/>
            </w:r>
            <w:r>
              <w:rPr>
                <w:rFonts w:hint="eastAsia"/>
              </w:rPr>
              <w:t>节能项目验收报告编号/日期：</w:t>
            </w:r>
            <w:r>
              <w:rPr>
                <w:rFonts w:hint="eastAsia"/>
                <w:lang w:val="en-US" w:eastAsia="zh-CN"/>
              </w:rPr>
              <w:t>不需要验收</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sym w:font="Wingdings 2" w:char="0052"/>
            </w:r>
            <w:r>
              <w:rPr>
                <w:rFonts w:hint="eastAsia"/>
              </w:rPr>
              <w:t>限额标准</w:t>
            </w:r>
            <w:r>
              <w:rPr>
                <w:rFonts w:hint="eastAsia"/>
              </w:rPr>
              <w:sym w:font="Wingdings 2" w:char="0052"/>
            </w:r>
            <w:r>
              <w:rPr>
                <w:rFonts w:hint="eastAsia"/>
              </w:rPr>
              <w:t>能源计量管理</w:t>
            </w:r>
            <w:r>
              <w:rPr>
                <w:rFonts w:hint="eastAsia"/>
              </w:rPr>
              <w:sym w:font="Wingdings 2" w:char="0052"/>
            </w:r>
            <w:r>
              <w:rPr>
                <w:rFonts w:hint="eastAsia"/>
              </w:rPr>
              <w:t>使用节能设备</w:t>
            </w:r>
            <w:r>
              <w:rPr>
                <w:rFonts w:hint="eastAsia"/>
              </w:rPr>
              <w:sym w:font="Wingdings 2" w:char="0052"/>
            </w:r>
            <w:r>
              <w:rPr>
                <w:rFonts w:hint="eastAsia"/>
              </w:rPr>
              <w:t>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5"/>
              <w:gridCol w:w="3131"/>
              <w:gridCol w:w="1277"/>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auto"/>
                </w:tcPr>
                <w:p>
                  <w:pPr>
                    <w:shd w:val="clear" w:color="auto" w:fill="EBF1DE" w:themeFill="accent3" w:themeFillTint="32"/>
                    <w:rPr>
                      <w:rFonts w:hint="default"/>
                      <w:lang w:val="en-US" w:eastAsia="zh-CN"/>
                    </w:rPr>
                  </w:pPr>
                  <w:r>
                    <w:rPr>
                      <w:rFonts w:hint="eastAsia"/>
                    </w:rPr>
                    <w:t>节能目标</w:t>
                  </w:r>
                  <w:r>
                    <w:rPr>
                      <w:rFonts w:hint="eastAsia"/>
                      <w:lang w:eastAsia="zh-CN"/>
                    </w:rPr>
                    <w:t>（</w:t>
                  </w:r>
                  <w:r>
                    <w:rPr>
                      <w:rFonts w:hint="eastAsia"/>
                      <w:lang w:val="en-US" w:eastAsia="zh-CN"/>
                    </w:rPr>
                    <w:t>2021年</w:t>
                  </w:r>
                  <w:r>
                    <w:rPr>
                      <w:rFonts w:hint="eastAsia"/>
                      <w:lang w:eastAsia="zh-CN"/>
                    </w:rPr>
                    <w:t>）</w:t>
                  </w:r>
                </w:p>
              </w:tc>
              <w:tc>
                <w:tcPr>
                  <w:tcW w:w="3131" w:type="dxa"/>
                  <w:shd w:val="clear" w:color="auto" w:fill="auto"/>
                </w:tcPr>
                <w:p>
                  <w:pPr>
                    <w:shd w:val="clear" w:color="auto" w:fill="EBF1DE" w:themeFill="accent3" w:themeFillTint="32"/>
                  </w:pPr>
                  <w:r>
                    <w:rPr>
                      <w:rFonts w:hint="eastAsia"/>
                    </w:rPr>
                    <w:t>控制措施</w:t>
                  </w:r>
                </w:p>
              </w:tc>
              <w:tc>
                <w:tcPr>
                  <w:tcW w:w="1277" w:type="dxa"/>
                  <w:shd w:val="clear" w:color="auto" w:fill="auto"/>
                </w:tcPr>
                <w:p>
                  <w:pPr>
                    <w:shd w:val="clear" w:color="auto" w:fill="EBF1DE" w:themeFill="accent3" w:themeFillTint="32"/>
                  </w:pPr>
                  <w:r>
                    <w:rPr>
                      <w:rFonts w:hint="eastAsia"/>
                    </w:rPr>
                    <w:t>责任部门</w:t>
                  </w:r>
                </w:p>
              </w:tc>
              <w:tc>
                <w:tcPr>
                  <w:tcW w:w="1675" w:type="dxa"/>
                  <w:shd w:val="clear" w:color="auto" w:fill="auto"/>
                </w:tcPr>
                <w:p>
                  <w:pPr>
                    <w:shd w:val="clear" w:color="auto" w:fill="EBF1DE" w:themeFill="accent3" w:themeFillTint="32"/>
                    <w:rPr>
                      <w:rFonts w:hint="eastAsia"/>
                      <w:lang w:eastAsia="zh-CN"/>
                    </w:rPr>
                  </w:pPr>
                  <w:r>
                    <w:rPr>
                      <w:rFonts w:hint="eastAsia"/>
                    </w:rPr>
                    <w:t>目标实际完成</w:t>
                  </w:r>
                  <w:r>
                    <w:rPr>
                      <w:rFonts w:hint="eastAsia"/>
                      <w:lang w:eastAsia="zh-CN"/>
                    </w:rPr>
                    <w:t>（</w:t>
                  </w:r>
                  <w:r>
                    <w:rPr>
                      <w:rFonts w:hint="eastAsia"/>
                      <w:lang w:val="en-US" w:eastAsia="zh-CN"/>
                    </w:rPr>
                    <w:t>2021年</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auto"/>
                  <w:vAlign w:val="center"/>
                </w:tcPr>
                <w:p>
                  <w:pPr>
                    <w:jc w:val="left"/>
                    <w:rPr>
                      <w:rFonts w:hint="eastAsia"/>
                      <w:lang w:val="en-US" w:eastAsia="zh-CN"/>
                    </w:rPr>
                  </w:pPr>
                  <w:r>
                    <w:rPr>
                      <w:rFonts w:hint="eastAsia"/>
                      <w:lang w:val="en-US" w:eastAsia="zh-CN"/>
                    </w:rPr>
                    <w:t>炼油综合能耗≤76.5千克标油／吨</w:t>
                  </w:r>
                </w:p>
              </w:tc>
              <w:tc>
                <w:tcPr>
                  <w:tcW w:w="3131" w:type="dxa"/>
                  <w:shd w:val="clear" w:color="auto" w:fill="auto"/>
                  <w:vAlign w:val="center"/>
                </w:tcPr>
                <w:p>
                  <w:pPr>
                    <w:shd w:val="clear" w:color="auto" w:fill="EBF1DE" w:themeFill="accent3" w:themeFillTint="32"/>
                    <w:rPr>
                      <w:rFonts w:hint="default"/>
                      <w:lang w:val="en-GB" w:eastAsia="zh-CN"/>
                    </w:rPr>
                  </w:pPr>
                  <w:r>
                    <w:rPr>
                      <w:rFonts w:hint="eastAsia"/>
                      <w:lang w:val="en-US" w:eastAsia="zh-CN"/>
                    </w:rPr>
                    <w:t>加强节能管理，控制工艺参数及相关变量的波动</w:t>
                  </w:r>
                </w:p>
              </w:tc>
              <w:tc>
                <w:tcPr>
                  <w:tcW w:w="1277" w:type="dxa"/>
                  <w:shd w:val="clear" w:color="auto" w:fill="auto"/>
                  <w:vAlign w:val="center"/>
                </w:tcPr>
                <w:p>
                  <w:pPr>
                    <w:shd w:val="clear" w:color="auto" w:fill="EBF1DE" w:themeFill="accent3" w:themeFillTint="32"/>
                    <w:rPr>
                      <w:rFonts w:hint="eastAsia"/>
                      <w:lang w:val="en-GB" w:eastAsia="zh-CN"/>
                    </w:rPr>
                  </w:pPr>
                  <w:r>
                    <w:rPr>
                      <w:rFonts w:hint="eastAsia"/>
                      <w:lang w:val="en-US" w:eastAsia="zh-CN"/>
                    </w:rPr>
                    <w:t>生产技术部</w:t>
                  </w:r>
                </w:p>
              </w:tc>
              <w:tc>
                <w:tcPr>
                  <w:tcW w:w="1675" w:type="dxa"/>
                  <w:shd w:val="clear" w:color="auto" w:fill="auto"/>
                  <w:vAlign w:val="center"/>
                </w:tcPr>
                <w:p>
                  <w:pPr>
                    <w:jc w:val="center"/>
                    <w:rPr>
                      <w:lang w:val="en-GB" w:eastAsia="zh-CN"/>
                    </w:rPr>
                  </w:pPr>
                  <w:r>
                    <w:rPr>
                      <w:rFonts w:hint="eastAsia"/>
                      <w:lang w:val="en-US" w:eastAsia="zh-CN"/>
                    </w:rPr>
                    <w:t>74.5千克标油／吨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auto"/>
                  <w:vAlign w:val="center"/>
                </w:tcPr>
                <w:p>
                  <w:pPr>
                    <w:jc w:val="left"/>
                    <w:rPr>
                      <w:rFonts w:hint="eastAsia"/>
                      <w:lang w:val="en-US" w:eastAsia="zh-CN"/>
                    </w:rPr>
                  </w:pPr>
                  <w:r>
                    <w:rPr>
                      <w:rFonts w:hint="eastAsia"/>
                    </w:rPr>
                    <w:t>炼油单因耗能≤8.63千克标油／吨·因数</w:t>
                  </w:r>
                </w:p>
              </w:tc>
              <w:tc>
                <w:tcPr>
                  <w:tcW w:w="3131" w:type="dxa"/>
                  <w:shd w:val="clear" w:color="auto" w:fill="auto"/>
                  <w:vAlign w:val="center"/>
                </w:tcPr>
                <w:p>
                  <w:pPr>
                    <w:shd w:val="clear" w:color="auto" w:fill="EBF1DE" w:themeFill="accent3" w:themeFillTint="32"/>
                    <w:rPr>
                      <w:rFonts w:hint="default"/>
                      <w:lang w:val="en-US" w:eastAsia="zh-CN"/>
                    </w:rPr>
                  </w:pPr>
                  <w:r>
                    <w:rPr>
                      <w:rFonts w:hint="eastAsia"/>
                      <w:lang w:val="en-US" w:eastAsia="zh-CN"/>
                    </w:rPr>
                    <w:t>加强节能管理，控制工艺参数及相关变量的波动，提高产品产量</w:t>
                  </w:r>
                </w:p>
              </w:tc>
              <w:tc>
                <w:tcPr>
                  <w:tcW w:w="1277" w:type="dxa"/>
                  <w:shd w:val="clear" w:color="auto" w:fill="auto"/>
                  <w:vAlign w:val="center"/>
                </w:tcPr>
                <w:p>
                  <w:pPr>
                    <w:shd w:val="clear" w:color="auto" w:fill="EBF1DE" w:themeFill="accent3" w:themeFillTint="32"/>
                    <w:rPr>
                      <w:rFonts w:hint="eastAsia"/>
                      <w:lang w:val="en-US" w:eastAsia="zh-CN"/>
                    </w:rPr>
                  </w:pPr>
                  <w:r>
                    <w:rPr>
                      <w:rFonts w:hint="eastAsia"/>
                      <w:lang w:val="en-US" w:eastAsia="zh-CN"/>
                    </w:rPr>
                    <w:t>生产技术部</w:t>
                  </w:r>
                </w:p>
              </w:tc>
              <w:tc>
                <w:tcPr>
                  <w:tcW w:w="1675" w:type="dxa"/>
                  <w:shd w:val="clear" w:color="auto" w:fill="auto"/>
                  <w:vAlign w:val="center"/>
                </w:tcPr>
                <w:p>
                  <w:pPr>
                    <w:jc w:val="center"/>
                    <w:rPr>
                      <w:rFonts w:hint="default"/>
                      <w:lang w:val="en-US" w:eastAsia="zh-CN"/>
                    </w:rPr>
                  </w:pPr>
                  <w:r>
                    <w:rPr>
                      <w:rFonts w:hint="eastAsia"/>
                      <w:lang w:val="en-US" w:eastAsia="zh-CN"/>
                    </w:rPr>
                    <w:t>8.5千克标油／吨·因数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auto"/>
                  <w:vAlign w:val="center"/>
                </w:tcPr>
                <w:p>
                  <w:pPr>
                    <w:jc w:val="left"/>
                  </w:pPr>
                  <w:r>
                    <w:rPr>
                      <w:rFonts w:hint="eastAsia"/>
                    </w:rPr>
                    <w:t>己内酰胺综合能耗≤545千克标油／吨</w:t>
                  </w:r>
                </w:p>
              </w:tc>
              <w:tc>
                <w:tcPr>
                  <w:tcW w:w="3131" w:type="dxa"/>
                  <w:shd w:val="clear" w:color="auto" w:fill="auto"/>
                  <w:vAlign w:val="center"/>
                </w:tcPr>
                <w:p>
                  <w:pPr>
                    <w:shd w:val="clear" w:color="auto" w:fill="EBF1DE" w:themeFill="accent3" w:themeFillTint="32"/>
                    <w:rPr>
                      <w:rFonts w:hint="default"/>
                      <w:lang w:val="en-US" w:eastAsia="zh-CN"/>
                    </w:rPr>
                  </w:pPr>
                  <w:r>
                    <w:rPr>
                      <w:rFonts w:hint="eastAsia"/>
                      <w:lang w:val="en-US" w:eastAsia="zh-CN"/>
                    </w:rPr>
                    <w:t>提高产品附加值</w:t>
                  </w:r>
                </w:p>
              </w:tc>
              <w:tc>
                <w:tcPr>
                  <w:tcW w:w="1277" w:type="dxa"/>
                  <w:shd w:val="clear" w:color="auto" w:fill="auto"/>
                  <w:vAlign w:val="center"/>
                </w:tcPr>
                <w:p>
                  <w:pPr>
                    <w:shd w:val="clear" w:color="auto" w:fill="EBF1DE" w:themeFill="accent3" w:themeFillTint="32"/>
                    <w:rPr>
                      <w:rFonts w:hint="default"/>
                      <w:lang w:val="en-US" w:eastAsia="zh-CN"/>
                    </w:rPr>
                  </w:pPr>
                  <w:r>
                    <w:rPr>
                      <w:rFonts w:hint="eastAsia"/>
                      <w:lang w:val="en-US" w:eastAsia="zh-CN"/>
                    </w:rPr>
                    <w:t>生产技术部部</w:t>
                  </w:r>
                </w:p>
              </w:tc>
              <w:tc>
                <w:tcPr>
                  <w:tcW w:w="1675" w:type="dxa"/>
                  <w:shd w:val="clear" w:color="auto" w:fill="auto"/>
                  <w:vAlign w:val="center"/>
                </w:tcPr>
                <w:p>
                  <w:pPr>
                    <w:jc w:val="center"/>
                    <w:rPr>
                      <w:rFonts w:hint="default"/>
                      <w:lang w:val="en-US"/>
                    </w:rPr>
                  </w:pPr>
                  <w:r>
                    <w:rPr>
                      <w:rFonts w:hint="eastAsia"/>
                      <w:lang w:val="en-US" w:eastAsia="zh-CN"/>
                    </w:rPr>
                    <w:t>476千克标油／吨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auto"/>
                  <w:vAlign w:val="center"/>
                </w:tcPr>
                <w:p>
                  <w:pPr>
                    <w:jc w:val="left"/>
                    <w:rPr>
                      <w:rFonts w:hint="eastAsia"/>
                    </w:rPr>
                  </w:pPr>
                  <w:r>
                    <w:rPr>
                      <w:rFonts w:hint="eastAsia"/>
                    </w:rPr>
                    <w:t>炼油加工损失率≤0.485%</w:t>
                  </w:r>
                </w:p>
              </w:tc>
              <w:tc>
                <w:tcPr>
                  <w:tcW w:w="3131" w:type="dxa"/>
                  <w:shd w:val="clear" w:color="auto" w:fill="auto"/>
                  <w:vAlign w:val="center"/>
                </w:tcPr>
                <w:p>
                  <w:pPr>
                    <w:shd w:val="clear" w:color="auto" w:fill="EBF1DE" w:themeFill="accent3" w:themeFillTint="32"/>
                    <w:rPr>
                      <w:rFonts w:hint="default"/>
                      <w:lang w:val="en-US" w:eastAsia="zh-CN"/>
                    </w:rPr>
                  </w:pPr>
                  <w:r>
                    <w:rPr>
                      <w:rFonts w:hint="eastAsia"/>
                      <w:lang w:val="en-US" w:eastAsia="zh-CN"/>
                    </w:rPr>
                    <w:t>加强加工过程控制、优化生产流程</w:t>
                  </w:r>
                </w:p>
              </w:tc>
              <w:tc>
                <w:tcPr>
                  <w:tcW w:w="1277" w:type="dxa"/>
                  <w:shd w:val="clear" w:color="auto" w:fill="auto"/>
                  <w:vAlign w:val="center"/>
                </w:tcPr>
                <w:p>
                  <w:pPr>
                    <w:shd w:val="clear" w:color="auto" w:fill="EBF1DE" w:themeFill="accent3" w:themeFillTint="32"/>
                    <w:rPr>
                      <w:rFonts w:hint="default"/>
                      <w:lang w:val="en-US" w:eastAsia="zh-CN"/>
                    </w:rPr>
                  </w:pPr>
                  <w:r>
                    <w:rPr>
                      <w:rFonts w:hint="eastAsia"/>
                      <w:lang w:val="en-US" w:eastAsia="zh-CN"/>
                    </w:rPr>
                    <w:t>生产技术部</w:t>
                  </w:r>
                </w:p>
              </w:tc>
              <w:tc>
                <w:tcPr>
                  <w:tcW w:w="1675" w:type="dxa"/>
                  <w:shd w:val="clear" w:color="auto" w:fill="auto"/>
                  <w:vAlign w:val="center"/>
                </w:tcPr>
                <w:p>
                  <w:pPr>
                    <w:jc w:val="center"/>
                    <w:rPr>
                      <w:rFonts w:hint="eastAsia"/>
                      <w:lang w:val="en-US" w:eastAsia="zh-CN"/>
                    </w:rPr>
                  </w:pPr>
                  <w:r>
                    <w:rPr>
                      <w:rFonts w:hint="eastAsia"/>
                      <w:lang w:val="en-US" w:eastAsia="zh-CN"/>
                    </w:rPr>
                    <w:t>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auto"/>
                  <w:vAlign w:val="center"/>
                </w:tcPr>
                <w:p>
                  <w:pPr>
                    <w:jc w:val="left"/>
                    <w:rPr>
                      <w:rFonts w:hint="eastAsia"/>
                    </w:rPr>
                  </w:pPr>
                  <w:r>
                    <w:rPr>
                      <w:rFonts w:hint="eastAsia"/>
                    </w:rPr>
                    <w:t>原油储运损失率≤0.152%</w:t>
                  </w:r>
                </w:p>
              </w:tc>
              <w:tc>
                <w:tcPr>
                  <w:tcW w:w="3131" w:type="dxa"/>
                  <w:shd w:val="clear" w:color="auto" w:fill="auto"/>
                  <w:vAlign w:val="center"/>
                </w:tcPr>
                <w:p>
                  <w:pPr>
                    <w:shd w:val="clear" w:color="auto" w:fill="EBF1DE" w:themeFill="accent3" w:themeFillTint="32"/>
                    <w:rPr>
                      <w:rFonts w:hint="eastAsia"/>
                      <w:lang w:val="en-US" w:eastAsia="zh-CN"/>
                    </w:rPr>
                  </w:pPr>
                  <w:r>
                    <w:rPr>
                      <w:rFonts w:hint="eastAsia"/>
                      <w:lang w:val="en-US" w:eastAsia="zh-CN"/>
                    </w:rPr>
                    <w:t>加强运输和管道输送管理</w:t>
                  </w:r>
                </w:p>
              </w:tc>
              <w:tc>
                <w:tcPr>
                  <w:tcW w:w="1277" w:type="dxa"/>
                  <w:shd w:val="clear" w:color="auto" w:fill="auto"/>
                  <w:vAlign w:val="center"/>
                </w:tcPr>
                <w:p>
                  <w:pPr>
                    <w:shd w:val="clear" w:color="auto" w:fill="EBF1DE" w:themeFill="accent3" w:themeFillTint="32"/>
                    <w:rPr>
                      <w:rFonts w:hint="default"/>
                      <w:lang w:val="en-US" w:eastAsia="zh-CN"/>
                    </w:rPr>
                  </w:pPr>
                  <w:r>
                    <w:rPr>
                      <w:rFonts w:hint="eastAsia"/>
                      <w:lang w:val="en-US" w:eastAsia="zh-CN"/>
                    </w:rPr>
                    <w:t>生产技术部</w:t>
                  </w:r>
                </w:p>
              </w:tc>
              <w:tc>
                <w:tcPr>
                  <w:tcW w:w="1675" w:type="dxa"/>
                  <w:shd w:val="clear" w:color="auto" w:fill="auto"/>
                  <w:vAlign w:val="center"/>
                </w:tcPr>
                <w:p>
                  <w:pPr>
                    <w:jc w:val="center"/>
                    <w:rPr>
                      <w:rFonts w:hint="eastAsia"/>
                      <w:lang w:val="en-US" w:eastAsia="zh-CN"/>
                    </w:rPr>
                  </w:pPr>
                  <w:r>
                    <w:rPr>
                      <w:rFonts w:hint="eastAsia"/>
                      <w:lang w:val="en-US" w:eastAsia="zh-CN"/>
                    </w:rPr>
                    <w:t>0.134%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auto"/>
                  <w:vAlign w:val="center"/>
                </w:tcPr>
                <w:p>
                  <w:pPr>
                    <w:jc w:val="left"/>
                    <w:rPr>
                      <w:rFonts w:hint="eastAsia"/>
                    </w:rPr>
                  </w:pPr>
                  <w:r>
                    <w:rPr>
                      <w:rFonts w:hint="eastAsia"/>
                    </w:rPr>
                    <w:t>吨油取水≤0.32吨/吨</w:t>
                  </w:r>
                </w:p>
              </w:tc>
              <w:tc>
                <w:tcPr>
                  <w:tcW w:w="3131" w:type="dxa"/>
                  <w:shd w:val="clear" w:color="auto" w:fill="auto"/>
                  <w:vAlign w:val="center"/>
                </w:tcPr>
                <w:p>
                  <w:pPr>
                    <w:shd w:val="clear" w:color="auto" w:fill="EBF1DE" w:themeFill="accent3" w:themeFillTint="32"/>
                    <w:rPr>
                      <w:rFonts w:hint="default"/>
                      <w:lang w:val="en-US" w:eastAsia="zh-CN"/>
                    </w:rPr>
                  </w:pPr>
                  <w:r>
                    <w:rPr>
                      <w:rFonts w:hint="eastAsia"/>
                      <w:lang w:val="en-US" w:eastAsia="zh-CN"/>
                    </w:rPr>
                    <w:t>控制原油加工过程用水，提高污水回用率等</w:t>
                  </w:r>
                </w:p>
              </w:tc>
              <w:tc>
                <w:tcPr>
                  <w:tcW w:w="1277" w:type="dxa"/>
                  <w:shd w:val="clear" w:color="auto" w:fill="auto"/>
                  <w:vAlign w:val="center"/>
                </w:tcPr>
                <w:p>
                  <w:pPr>
                    <w:shd w:val="clear" w:color="auto" w:fill="EBF1DE" w:themeFill="accent3" w:themeFillTint="32"/>
                    <w:rPr>
                      <w:rFonts w:hint="default"/>
                      <w:lang w:val="en-US" w:eastAsia="zh-CN"/>
                    </w:rPr>
                  </w:pPr>
                  <w:r>
                    <w:rPr>
                      <w:rFonts w:hint="eastAsia"/>
                      <w:lang w:val="en-US" w:eastAsia="zh-CN"/>
                    </w:rPr>
                    <w:t>生产技术部</w:t>
                  </w:r>
                </w:p>
              </w:tc>
              <w:tc>
                <w:tcPr>
                  <w:tcW w:w="1675" w:type="dxa"/>
                  <w:shd w:val="clear" w:color="auto" w:fill="auto"/>
                  <w:vAlign w:val="center"/>
                </w:tcPr>
                <w:p>
                  <w:pPr>
                    <w:jc w:val="center"/>
                    <w:rPr>
                      <w:rFonts w:hint="eastAsia"/>
                      <w:lang w:val="en-US" w:eastAsia="zh-CN"/>
                    </w:rPr>
                  </w:pPr>
                  <w:r>
                    <w:rPr>
                      <w:rFonts w:hint="eastAsia"/>
                      <w:lang w:val="en-US" w:eastAsia="zh-CN"/>
                    </w:rPr>
                    <w:t>0.32吨/吨</w:t>
                  </w:r>
                </w:p>
              </w:tc>
            </w:tr>
          </w:tbl>
          <w:p>
            <w:pPr>
              <w:shd w:val="clear" w:color="auto" w:fill="EBF1DE" w:themeFill="accent3" w:themeFillTint="32"/>
              <w:rPr>
                <w:rFonts w:hint="default"/>
                <w:lang w:val="en-US" w:eastAsia="zh-CN"/>
              </w:rPr>
            </w:pPr>
            <w:r>
              <w:rPr>
                <w:rFonts w:hint="eastAsia"/>
                <w:lang w:eastAsia="zh-CN"/>
              </w:rPr>
              <w:sym w:font="Wingdings 2" w:char="0052"/>
            </w:r>
            <w:r>
              <w:rPr>
                <w:rFonts w:hint="eastAsia"/>
              </w:rPr>
              <w:t>目标已实现</w:t>
            </w:r>
            <w:r>
              <w:rPr>
                <w:rFonts w:hint="eastAsia"/>
                <w:lang w:val="en-US" w:eastAsia="zh-CN"/>
              </w:rPr>
              <w:t>。</w:t>
            </w:r>
          </w:p>
          <w:p>
            <w:pPr>
              <w:shd w:val="clear" w:color="auto" w:fill="EBF1DE" w:themeFill="accent3" w:themeFillTint="32"/>
              <w:rPr>
                <w:rFonts w:hint="eastAsia"/>
              </w:rPr>
            </w:pPr>
            <w:r>
              <w:rPr>
                <w:rFonts w:hint="eastAsia"/>
                <w:lang w:eastAsia="zh-CN"/>
              </w:rPr>
              <w:t>□</w:t>
            </w:r>
            <w:r>
              <w:rPr>
                <w:rFonts w:hint="eastAsia"/>
              </w:rPr>
              <w:t>目标没有实现的，组织在内部及时进行原因分析并采取了改进措施。</w:t>
            </w:r>
          </w:p>
          <w:p>
            <w:pPr>
              <w:pStyle w:val="2"/>
              <w:rPr>
                <w:rFonts w:hint="eastAsi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9"/>
              <w:gridCol w:w="3115"/>
              <w:gridCol w:w="1108"/>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shd w:val="clear" w:color="auto" w:fill="auto"/>
                </w:tcPr>
                <w:p>
                  <w:pPr>
                    <w:shd w:val="clear" w:color="auto" w:fill="EBF1DE" w:themeFill="accent3" w:themeFillTint="32"/>
                    <w:rPr>
                      <w:rFonts w:hint="default" w:ascii="宋体" w:hAnsi="宋体" w:eastAsia="宋体"/>
                      <w:lang w:val="en-US" w:eastAsia="zh-CN"/>
                    </w:rPr>
                  </w:pPr>
                  <w:r>
                    <w:rPr>
                      <w:rFonts w:hint="eastAsia" w:ascii="宋体" w:hAnsi="宋体"/>
                    </w:rPr>
                    <w:t>节能目标</w:t>
                  </w:r>
                  <w:r>
                    <w:rPr>
                      <w:rFonts w:hint="eastAsia" w:ascii="宋体" w:hAnsi="宋体"/>
                      <w:lang w:eastAsia="zh-CN"/>
                    </w:rPr>
                    <w:t>（</w:t>
                  </w:r>
                  <w:r>
                    <w:rPr>
                      <w:rFonts w:hint="eastAsia" w:ascii="宋体" w:hAnsi="宋体"/>
                      <w:lang w:val="en-US" w:eastAsia="zh-CN"/>
                    </w:rPr>
                    <w:t>2022年</w:t>
                  </w:r>
                  <w:r>
                    <w:rPr>
                      <w:rFonts w:hint="eastAsia" w:ascii="宋体" w:hAnsi="宋体"/>
                      <w:lang w:eastAsia="zh-CN"/>
                    </w:rPr>
                    <w:t>）</w:t>
                  </w:r>
                </w:p>
              </w:tc>
              <w:tc>
                <w:tcPr>
                  <w:tcW w:w="3115"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08"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906" w:type="dxa"/>
                  <w:shd w:val="clear" w:color="auto" w:fill="auto"/>
                </w:tcPr>
                <w:p>
                  <w:pPr>
                    <w:shd w:val="clear" w:color="auto" w:fill="EBF1DE" w:themeFill="accent3" w:themeFillTint="32"/>
                    <w:rPr>
                      <w:rFonts w:hint="eastAsia" w:ascii="宋体" w:hAnsi="宋体" w:eastAsia="宋体"/>
                      <w:lang w:eastAsia="zh-CN"/>
                    </w:rPr>
                  </w:pPr>
                  <w:r>
                    <w:rPr>
                      <w:rFonts w:hint="eastAsia" w:ascii="宋体" w:hAnsi="宋体"/>
                    </w:rPr>
                    <w:t>目标实际完成</w:t>
                  </w:r>
                  <w:r>
                    <w:rPr>
                      <w:rFonts w:hint="eastAsia" w:ascii="宋体" w:hAnsi="宋体"/>
                      <w:lang w:eastAsia="zh-CN"/>
                    </w:rPr>
                    <w:t>（</w:t>
                  </w:r>
                  <w:r>
                    <w:rPr>
                      <w:rFonts w:hint="eastAsia" w:ascii="宋体" w:hAnsi="宋体"/>
                      <w:lang w:val="en-US" w:eastAsia="zh-CN"/>
                    </w:rPr>
                    <w:t>2022年1-11月</w:t>
                  </w:r>
                  <w:r>
                    <w:rPr>
                      <w:rFonts w:hint="eastAsia" w:ascii="宋体" w:hAnsi="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shd w:val="clear" w:color="auto" w:fill="auto"/>
                  <w:vAlign w:val="center"/>
                </w:tcPr>
                <w:p>
                  <w:pPr>
                    <w:jc w:val="left"/>
                    <w:rPr>
                      <w:rFonts w:hint="eastAsia" w:ascii="Times New Roman" w:hAnsi="Times New Roman" w:eastAsia="宋体" w:cs="Times New Roman"/>
                      <w:kern w:val="2"/>
                      <w:sz w:val="21"/>
                      <w:szCs w:val="24"/>
                      <w:highlight w:val="yellow"/>
                      <w:lang w:val="en-US" w:eastAsia="zh-CN" w:bidi="ar-SA"/>
                    </w:rPr>
                  </w:pPr>
                  <w:r>
                    <w:rPr>
                      <w:rFonts w:hint="eastAsia" w:ascii="宋体" w:hAnsi="宋体"/>
                      <w:sz w:val="21"/>
                      <w:szCs w:val="21"/>
                      <w:lang w:val="en-US" w:eastAsia="zh-CN"/>
                    </w:rPr>
                    <w:t>炼油综合能耗≤75.9千克标油／吨</w:t>
                  </w:r>
                </w:p>
              </w:tc>
              <w:tc>
                <w:tcPr>
                  <w:tcW w:w="3115"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yellow"/>
                      <w:lang w:val="en-GB" w:eastAsia="zh-CN" w:bidi="ar-SA"/>
                    </w:rPr>
                  </w:pPr>
                  <w:r>
                    <w:rPr>
                      <w:rFonts w:hint="eastAsia"/>
                      <w:highlight w:val="none"/>
                      <w:lang w:val="en-US" w:eastAsia="zh-CN"/>
                    </w:rPr>
                    <w:t>加强节能管理，控制工艺参数及相关变量的波动</w:t>
                  </w:r>
                </w:p>
              </w:tc>
              <w:tc>
                <w:tcPr>
                  <w:tcW w:w="1108"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highlight w:val="yellow"/>
                      <w:lang w:val="en-GB" w:eastAsia="zh-CN" w:bidi="ar-SA"/>
                    </w:rPr>
                  </w:pPr>
                  <w:r>
                    <w:rPr>
                      <w:rFonts w:hint="eastAsia"/>
                      <w:highlight w:val="none"/>
                      <w:lang w:val="en-US" w:eastAsia="zh-CN"/>
                    </w:rPr>
                    <w:t>生产技术部</w:t>
                  </w:r>
                </w:p>
              </w:tc>
              <w:tc>
                <w:tcPr>
                  <w:tcW w:w="1906" w:type="dxa"/>
                  <w:shd w:val="clear" w:color="auto" w:fill="auto"/>
                  <w:vAlign w:val="center"/>
                </w:tcPr>
                <w:p>
                  <w:pPr>
                    <w:jc w:val="center"/>
                    <w:rPr>
                      <w:rFonts w:ascii="宋体" w:hAnsi="宋体" w:eastAsia="宋体" w:cs="Times New Roman"/>
                      <w:kern w:val="2"/>
                      <w:sz w:val="21"/>
                      <w:szCs w:val="24"/>
                      <w:highlight w:val="yellow"/>
                      <w:lang w:val="en-GB" w:eastAsia="zh-CN" w:bidi="ar-SA"/>
                    </w:rPr>
                  </w:pPr>
                  <w:r>
                    <w:rPr>
                      <w:rFonts w:hint="eastAsia" w:ascii="宋体" w:hAnsi="宋体"/>
                      <w:sz w:val="21"/>
                      <w:szCs w:val="21"/>
                      <w:lang w:val="en-US" w:eastAsia="zh-CN"/>
                    </w:rPr>
                    <w:t>73.73千克标油／吨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shd w:val="clear" w:color="auto" w:fill="auto"/>
                  <w:vAlign w:val="center"/>
                </w:tcPr>
                <w:p>
                  <w:pPr>
                    <w:jc w:val="left"/>
                    <w:rPr>
                      <w:rFonts w:hint="eastAsia" w:ascii="Times New Roman" w:hAnsi="Times New Roman" w:eastAsia="宋体" w:cs="Times New Roman"/>
                      <w:kern w:val="2"/>
                      <w:sz w:val="21"/>
                      <w:szCs w:val="24"/>
                      <w:highlight w:val="yellow"/>
                      <w:lang w:val="en-US" w:eastAsia="zh-CN" w:bidi="ar-SA"/>
                    </w:rPr>
                  </w:pPr>
                  <w:r>
                    <w:rPr>
                      <w:rFonts w:hint="eastAsia" w:ascii="宋体" w:hAnsi="宋体"/>
                      <w:sz w:val="21"/>
                      <w:szCs w:val="21"/>
                    </w:rPr>
                    <w:t>炼油单因耗能≤8.</w:t>
                  </w:r>
                  <w:r>
                    <w:rPr>
                      <w:rFonts w:hint="eastAsia" w:ascii="宋体" w:hAnsi="宋体"/>
                      <w:sz w:val="21"/>
                      <w:szCs w:val="21"/>
                      <w:lang w:val="en-US" w:eastAsia="zh-CN"/>
                    </w:rPr>
                    <w:t>49</w:t>
                  </w:r>
                  <w:r>
                    <w:rPr>
                      <w:rFonts w:hint="eastAsia" w:ascii="宋体" w:hAnsi="宋体"/>
                      <w:sz w:val="21"/>
                      <w:szCs w:val="21"/>
                    </w:rPr>
                    <w:t>千克标油／吨·因数</w:t>
                  </w:r>
                </w:p>
              </w:tc>
              <w:tc>
                <w:tcPr>
                  <w:tcW w:w="3115"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yellow"/>
                      <w:lang w:val="en-US" w:eastAsia="zh-CN" w:bidi="ar-SA"/>
                    </w:rPr>
                  </w:pPr>
                  <w:r>
                    <w:rPr>
                      <w:rFonts w:hint="eastAsia"/>
                      <w:highlight w:val="none"/>
                      <w:lang w:val="en-US" w:eastAsia="zh-CN"/>
                    </w:rPr>
                    <w:t>加强节能管理，控制工艺参数及相关变量的波动，提高产品产量</w:t>
                  </w:r>
                </w:p>
              </w:tc>
              <w:tc>
                <w:tcPr>
                  <w:tcW w:w="1108" w:type="dxa"/>
                  <w:shd w:val="clear" w:color="auto" w:fill="auto"/>
                  <w:vAlign w:val="center"/>
                </w:tcPr>
                <w:p>
                  <w:pPr>
                    <w:shd w:val="clear" w:color="auto" w:fill="EBF1DE" w:themeFill="accent3" w:themeFillTint="32"/>
                    <w:rPr>
                      <w:rFonts w:hint="eastAsia" w:ascii="宋体" w:hAnsi="宋体" w:eastAsia="宋体" w:cs="Times New Roman"/>
                      <w:kern w:val="2"/>
                      <w:sz w:val="21"/>
                      <w:szCs w:val="24"/>
                      <w:highlight w:val="yellow"/>
                      <w:lang w:val="en-US" w:eastAsia="zh-CN" w:bidi="ar-SA"/>
                    </w:rPr>
                  </w:pPr>
                  <w:r>
                    <w:rPr>
                      <w:rFonts w:hint="eastAsia" w:ascii="宋体" w:hAnsi="宋体"/>
                      <w:highlight w:val="none"/>
                      <w:lang w:val="en-US" w:eastAsia="zh-CN"/>
                    </w:rPr>
                    <w:t>生产技术部</w:t>
                  </w:r>
                </w:p>
              </w:tc>
              <w:tc>
                <w:tcPr>
                  <w:tcW w:w="1906" w:type="dxa"/>
                  <w:shd w:val="clear" w:color="auto" w:fill="auto"/>
                  <w:vAlign w:val="center"/>
                </w:tcPr>
                <w:p>
                  <w:pPr>
                    <w:jc w:val="center"/>
                    <w:rPr>
                      <w:rFonts w:hint="default" w:ascii="宋体" w:hAnsi="宋体" w:eastAsia="宋体" w:cs="Times New Roman"/>
                      <w:kern w:val="2"/>
                      <w:sz w:val="21"/>
                      <w:szCs w:val="24"/>
                      <w:highlight w:val="yellow"/>
                      <w:lang w:val="en-US" w:eastAsia="zh-CN" w:bidi="ar-SA"/>
                    </w:rPr>
                  </w:pPr>
                  <w:r>
                    <w:rPr>
                      <w:rFonts w:hint="eastAsia" w:ascii="宋体" w:hAnsi="宋体"/>
                      <w:sz w:val="21"/>
                      <w:szCs w:val="21"/>
                      <w:lang w:val="en-US" w:eastAsia="zh-CN"/>
                    </w:rPr>
                    <w:t>8.33千克标油／吨·因数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shd w:val="clear" w:color="auto" w:fill="auto"/>
                  <w:vAlign w:val="center"/>
                </w:tcPr>
                <w:p>
                  <w:pPr>
                    <w:jc w:val="left"/>
                  </w:pPr>
                  <w:r>
                    <w:rPr>
                      <w:rFonts w:hint="eastAsia" w:ascii="宋体" w:hAnsi="宋体"/>
                      <w:sz w:val="21"/>
                      <w:szCs w:val="21"/>
                    </w:rPr>
                    <w:t>己内酰胺综合能耗≤5</w:t>
                  </w:r>
                  <w:r>
                    <w:rPr>
                      <w:rFonts w:hint="eastAsia" w:ascii="宋体" w:hAnsi="宋体"/>
                      <w:sz w:val="21"/>
                      <w:szCs w:val="21"/>
                      <w:lang w:val="en-US" w:eastAsia="zh-CN"/>
                    </w:rPr>
                    <w:t>00</w:t>
                  </w:r>
                  <w:r>
                    <w:rPr>
                      <w:rFonts w:hint="eastAsia" w:ascii="宋体" w:hAnsi="宋体"/>
                      <w:sz w:val="21"/>
                      <w:szCs w:val="21"/>
                    </w:rPr>
                    <w:t>千克标油／吨</w:t>
                  </w:r>
                </w:p>
              </w:tc>
              <w:tc>
                <w:tcPr>
                  <w:tcW w:w="3115"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提高产品附加值</w:t>
                  </w:r>
                </w:p>
              </w:tc>
              <w:tc>
                <w:tcPr>
                  <w:tcW w:w="1108"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生产技术部部</w:t>
                  </w:r>
                </w:p>
              </w:tc>
              <w:tc>
                <w:tcPr>
                  <w:tcW w:w="1906" w:type="dxa"/>
                  <w:shd w:val="clear" w:color="auto" w:fill="auto"/>
                  <w:vAlign w:val="center"/>
                </w:tcPr>
                <w:p>
                  <w:pPr>
                    <w:jc w:val="center"/>
                    <w:rPr>
                      <w:rFonts w:hint="default" w:ascii="宋体" w:hAnsi="宋体"/>
                      <w:lang w:val="en-US"/>
                    </w:rPr>
                  </w:pPr>
                  <w:r>
                    <w:rPr>
                      <w:rFonts w:hint="eastAsia" w:ascii="宋体" w:hAnsi="宋体"/>
                      <w:sz w:val="21"/>
                      <w:szCs w:val="21"/>
                      <w:lang w:val="en-US" w:eastAsia="zh-CN"/>
                    </w:rPr>
                    <w:t>停工未生产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shd w:val="clear" w:color="auto" w:fill="auto"/>
                  <w:vAlign w:val="center"/>
                </w:tcPr>
                <w:p>
                  <w:pPr>
                    <w:jc w:val="left"/>
                    <w:rPr>
                      <w:rFonts w:hint="eastAsia" w:ascii="宋体" w:hAnsi="宋体"/>
                      <w:sz w:val="21"/>
                      <w:szCs w:val="21"/>
                    </w:rPr>
                  </w:pPr>
                  <w:r>
                    <w:rPr>
                      <w:rFonts w:hint="eastAsia" w:ascii="宋体" w:hAnsi="宋体"/>
                      <w:sz w:val="21"/>
                      <w:szCs w:val="21"/>
                    </w:rPr>
                    <w:t>炼油加工损失率≤0.48%</w:t>
                  </w:r>
                </w:p>
              </w:tc>
              <w:tc>
                <w:tcPr>
                  <w:tcW w:w="3115" w:type="dxa"/>
                  <w:shd w:val="clear" w:color="auto" w:fill="auto"/>
                  <w:vAlign w:val="center"/>
                </w:tcPr>
                <w:p>
                  <w:pPr>
                    <w:shd w:val="clear" w:color="auto" w:fill="EBF1DE" w:themeFill="accent3" w:themeFillTint="32"/>
                    <w:rPr>
                      <w:rFonts w:hint="default" w:ascii="宋体" w:hAnsi="宋体"/>
                      <w:lang w:val="en-US" w:eastAsia="zh-CN"/>
                    </w:rPr>
                  </w:pPr>
                  <w:r>
                    <w:rPr>
                      <w:rFonts w:hint="eastAsia" w:ascii="宋体" w:hAnsi="宋体"/>
                      <w:lang w:val="en-US" w:eastAsia="zh-CN"/>
                    </w:rPr>
                    <w:t>加强加工过程控制、优化生产流程</w:t>
                  </w:r>
                </w:p>
              </w:tc>
              <w:tc>
                <w:tcPr>
                  <w:tcW w:w="1108" w:type="dxa"/>
                  <w:shd w:val="clear" w:color="auto" w:fill="auto"/>
                  <w:vAlign w:val="center"/>
                </w:tcPr>
                <w:p>
                  <w:pPr>
                    <w:shd w:val="clear" w:color="auto" w:fill="EBF1DE" w:themeFill="accent3" w:themeFillTint="32"/>
                    <w:rPr>
                      <w:rFonts w:hint="default" w:ascii="宋体" w:hAnsi="宋体"/>
                      <w:lang w:val="en-US" w:eastAsia="zh-CN"/>
                    </w:rPr>
                  </w:pPr>
                  <w:r>
                    <w:rPr>
                      <w:rFonts w:hint="eastAsia" w:ascii="宋体" w:hAnsi="宋体"/>
                      <w:lang w:val="en-US" w:eastAsia="zh-CN"/>
                    </w:rPr>
                    <w:t>生产技术部</w:t>
                  </w:r>
                </w:p>
              </w:tc>
              <w:tc>
                <w:tcPr>
                  <w:tcW w:w="1906" w:type="dxa"/>
                  <w:shd w:val="clear" w:color="auto" w:fill="auto"/>
                  <w:vAlign w:val="center"/>
                </w:tcPr>
                <w:p>
                  <w:pPr>
                    <w:jc w:val="center"/>
                    <w:rPr>
                      <w:rFonts w:hint="eastAsia" w:ascii="宋体" w:hAnsi="宋体"/>
                      <w:sz w:val="21"/>
                      <w:szCs w:val="21"/>
                      <w:lang w:val="en-US" w:eastAsia="zh-CN"/>
                    </w:rPr>
                  </w:pPr>
                  <w:r>
                    <w:rPr>
                      <w:rFonts w:hint="eastAsia" w:ascii="宋体" w:hAnsi="宋体"/>
                      <w:sz w:val="21"/>
                      <w:szCs w:val="21"/>
                      <w:lang w:val="en-US" w:eastAsia="zh-CN"/>
                    </w:rPr>
                    <w:t>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shd w:val="clear" w:color="auto" w:fill="auto"/>
                  <w:vAlign w:val="center"/>
                </w:tcPr>
                <w:p>
                  <w:pPr>
                    <w:jc w:val="left"/>
                    <w:rPr>
                      <w:rFonts w:hint="eastAsia" w:ascii="宋体" w:hAnsi="宋体"/>
                      <w:sz w:val="21"/>
                      <w:szCs w:val="21"/>
                    </w:rPr>
                  </w:pPr>
                  <w:r>
                    <w:rPr>
                      <w:rFonts w:hint="eastAsia" w:ascii="宋体" w:hAnsi="宋体"/>
                      <w:sz w:val="21"/>
                      <w:szCs w:val="21"/>
                    </w:rPr>
                    <w:t>原油储运损失率≤0.1</w:t>
                  </w:r>
                  <w:r>
                    <w:rPr>
                      <w:rFonts w:hint="eastAsia" w:ascii="宋体" w:hAnsi="宋体"/>
                      <w:sz w:val="21"/>
                      <w:szCs w:val="21"/>
                      <w:lang w:val="en-US" w:eastAsia="zh-CN"/>
                    </w:rPr>
                    <w:t>48</w:t>
                  </w:r>
                  <w:r>
                    <w:rPr>
                      <w:rFonts w:hint="eastAsia" w:ascii="宋体" w:hAnsi="宋体"/>
                      <w:sz w:val="21"/>
                      <w:szCs w:val="21"/>
                    </w:rPr>
                    <w:t>%</w:t>
                  </w:r>
                </w:p>
              </w:tc>
              <w:tc>
                <w:tcPr>
                  <w:tcW w:w="3115" w:type="dxa"/>
                  <w:shd w:val="clear" w:color="auto" w:fill="auto"/>
                  <w:vAlign w:val="center"/>
                </w:tcPr>
                <w:p>
                  <w:pPr>
                    <w:shd w:val="clear" w:color="auto" w:fill="EBF1DE" w:themeFill="accent3" w:themeFillTint="32"/>
                    <w:rPr>
                      <w:rFonts w:hint="eastAsia" w:ascii="宋体" w:hAnsi="宋体"/>
                      <w:lang w:val="en-US" w:eastAsia="zh-CN"/>
                    </w:rPr>
                  </w:pPr>
                  <w:r>
                    <w:rPr>
                      <w:rFonts w:hint="eastAsia" w:ascii="宋体" w:hAnsi="宋体"/>
                      <w:lang w:val="en-US" w:eastAsia="zh-CN"/>
                    </w:rPr>
                    <w:t>加强运输和管道输送管理</w:t>
                  </w:r>
                </w:p>
              </w:tc>
              <w:tc>
                <w:tcPr>
                  <w:tcW w:w="1108" w:type="dxa"/>
                  <w:shd w:val="clear" w:color="auto" w:fill="auto"/>
                  <w:vAlign w:val="center"/>
                </w:tcPr>
                <w:p>
                  <w:pPr>
                    <w:shd w:val="clear" w:color="auto" w:fill="EBF1DE" w:themeFill="accent3" w:themeFillTint="32"/>
                    <w:rPr>
                      <w:rFonts w:hint="default" w:ascii="宋体" w:hAnsi="宋体"/>
                      <w:lang w:val="en-US" w:eastAsia="zh-CN"/>
                    </w:rPr>
                  </w:pPr>
                  <w:r>
                    <w:rPr>
                      <w:rFonts w:hint="eastAsia" w:ascii="宋体" w:hAnsi="宋体"/>
                      <w:lang w:val="en-US" w:eastAsia="zh-CN"/>
                    </w:rPr>
                    <w:t>生产技术部</w:t>
                  </w:r>
                </w:p>
              </w:tc>
              <w:tc>
                <w:tcPr>
                  <w:tcW w:w="1906" w:type="dxa"/>
                  <w:shd w:val="clear" w:color="auto" w:fill="auto"/>
                  <w:vAlign w:val="center"/>
                </w:tcPr>
                <w:p>
                  <w:pPr>
                    <w:jc w:val="center"/>
                    <w:rPr>
                      <w:rFonts w:hint="eastAsia" w:ascii="宋体" w:hAnsi="宋体"/>
                      <w:sz w:val="21"/>
                      <w:szCs w:val="21"/>
                      <w:lang w:val="en-US" w:eastAsia="zh-CN"/>
                    </w:rPr>
                  </w:pPr>
                  <w:r>
                    <w:rPr>
                      <w:rFonts w:hint="eastAsia" w:ascii="宋体" w:hAnsi="宋体"/>
                      <w:sz w:val="21"/>
                      <w:szCs w:val="21"/>
                      <w:lang w:val="en-US" w:eastAsia="zh-CN"/>
                    </w:rPr>
                    <w:t>0.148%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shd w:val="clear" w:color="auto" w:fill="auto"/>
                  <w:vAlign w:val="center"/>
                </w:tcPr>
                <w:p>
                  <w:pPr>
                    <w:jc w:val="left"/>
                    <w:rPr>
                      <w:rFonts w:hint="eastAsia" w:ascii="宋体" w:hAnsi="宋体"/>
                      <w:sz w:val="21"/>
                      <w:szCs w:val="21"/>
                    </w:rPr>
                  </w:pPr>
                  <w:r>
                    <w:rPr>
                      <w:rFonts w:hint="eastAsia" w:ascii="宋体" w:hAnsi="宋体"/>
                      <w:sz w:val="21"/>
                      <w:szCs w:val="21"/>
                    </w:rPr>
                    <w:t>吨油取水≤0.32吨/吨</w:t>
                  </w:r>
                </w:p>
              </w:tc>
              <w:tc>
                <w:tcPr>
                  <w:tcW w:w="3115" w:type="dxa"/>
                  <w:shd w:val="clear" w:color="auto" w:fill="auto"/>
                  <w:vAlign w:val="center"/>
                </w:tcPr>
                <w:p>
                  <w:pPr>
                    <w:shd w:val="clear" w:color="auto" w:fill="EBF1DE" w:themeFill="accent3" w:themeFillTint="32"/>
                    <w:rPr>
                      <w:rFonts w:hint="default" w:ascii="宋体" w:hAnsi="宋体"/>
                      <w:lang w:val="en-US" w:eastAsia="zh-CN"/>
                    </w:rPr>
                  </w:pPr>
                  <w:r>
                    <w:rPr>
                      <w:rFonts w:hint="eastAsia" w:ascii="宋体" w:hAnsi="宋体"/>
                      <w:lang w:val="en-US" w:eastAsia="zh-CN"/>
                    </w:rPr>
                    <w:t>控制原油加工过程用水，提高污水回用率等</w:t>
                  </w:r>
                </w:p>
              </w:tc>
              <w:tc>
                <w:tcPr>
                  <w:tcW w:w="1108" w:type="dxa"/>
                  <w:shd w:val="clear" w:color="auto" w:fill="auto"/>
                  <w:vAlign w:val="center"/>
                </w:tcPr>
                <w:p>
                  <w:pPr>
                    <w:shd w:val="clear" w:color="auto" w:fill="EBF1DE" w:themeFill="accent3" w:themeFillTint="32"/>
                    <w:rPr>
                      <w:rFonts w:hint="default" w:ascii="宋体" w:hAnsi="宋体"/>
                      <w:lang w:val="en-US" w:eastAsia="zh-CN"/>
                    </w:rPr>
                  </w:pPr>
                  <w:r>
                    <w:rPr>
                      <w:rFonts w:hint="eastAsia" w:ascii="宋体" w:hAnsi="宋体"/>
                      <w:lang w:val="en-US" w:eastAsia="zh-CN"/>
                    </w:rPr>
                    <w:t>生产技术部</w:t>
                  </w:r>
                </w:p>
              </w:tc>
              <w:tc>
                <w:tcPr>
                  <w:tcW w:w="1906" w:type="dxa"/>
                  <w:shd w:val="clear" w:color="auto" w:fill="auto"/>
                  <w:vAlign w:val="center"/>
                </w:tcPr>
                <w:p>
                  <w:pPr>
                    <w:jc w:val="center"/>
                    <w:rPr>
                      <w:rFonts w:hint="eastAsia" w:ascii="宋体" w:hAnsi="宋体"/>
                      <w:sz w:val="21"/>
                      <w:szCs w:val="21"/>
                      <w:lang w:val="en-US" w:eastAsia="zh-CN"/>
                    </w:rPr>
                  </w:pPr>
                  <w:r>
                    <w:rPr>
                      <w:rFonts w:hint="eastAsia" w:ascii="宋体" w:hAnsi="宋体"/>
                      <w:sz w:val="21"/>
                      <w:szCs w:val="21"/>
                      <w:lang w:val="en-US" w:eastAsia="zh-CN"/>
                    </w:rPr>
                    <w:t>0.32吨/吨</w:t>
                  </w:r>
                </w:p>
              </w:tc>
            </w:tr>
          </w:tbl>
          <w:p>
            <w:pPr>
              <w:shd w:val="clear" w:color="auto" w:fill="EBF1DE" w:themeFill="accent3" w:themeFillTint="32"/>
              <w:rPr>
                <w:rFonts w:hint="default" w:eastAsia="宋体"/>
                <w:highlight w:val="none"/>
                <w:lang w:val="en-US" w:eastAsia="zh-CN"/>
              </w:rPr>
            </w:pPr>
            <w:r>
              <w:rPr>
                <w:rFonts w:hint="eastAsia" w:ascii="Wingdings" w:hAnsi="Wingdings"/>
                <w:highlight w:val="none"/>
                <w:lang w:eastAsia="zh-CN"/>
              </w:rPr>
              <w:sym w:font="Wingdings 2" w:char="0052"/>
            </w:r>
            <w:r>
              <w:rPr>
                <w:rFonts w:hint="eastAsia"/>
                <w:highlight w:val="none"/>
              </w:rPr>
              <w:t>目标已实现</w:t>
            </w:r>
            <w:r>
              <w:rPr>
                <w:rFonts w:hint="eastAsia"/>
                <w:highlight w:val="none"/>
                <w:lang w:val="en-US" w:eastAsia="zh-CN"/>
              </w:rPr>
              <w:t>。</w:t>
            </w:r>
          </w:p>
          <w:p>
            <w:pPr>
              <w:pStyle w:val="2"/>
              <w:ind w:left="0" w:leftChars="0" w:firstLine="0" w:firstLineChars="0"/>
              <w:rPr>
                <w:rFonts w:hint="eastAsia"/>
              </w:rPr>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sym w:font="Wingdings 2" w:char="0052"/>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default" w:eastAsia="宋体"/>
                <w:highlight w:val="yellow"/>
                <w:lang w:val="en-US" w:eastAsia="zh-CN"/>
              </w:rPr>
            </w:pPr>
            <w:r>
              <w:rPr>
                <w:rFonts w:hint="eastAsia"/>
                <w:lang w:val="en-US" w:eastAsia="zh-CN"/>
              </w:rPr>
              <w:t>企业占地</w:t>
            </w:r>
            <w:r>
              <w:rPr>
                <w:rFonts w:hint="eastAsia"/>
                <w:highlight w:val="none"/>
                <w:lang w:val="en-US" w:eastAsia="zh-CN"/>
              </w:rPr>
              <w:t>306.3公顷，</w:t>
            </w:r>
            <w:r>
              <w:rPr>
                <w:rFonts w:hint="eastAsia"/>
                <w:highlight w:val="none"/>
              </w:rPr>
              <w:t>建筑面积</w:t>
            </w:r>
            <w:r>
              <w:rPr>
                <w:rFonts w:hint="eastAsia"/>
                <w:highlight w:val="none"/>
                <w:lang w:val="en-US" w:eastAsia="zh-CN"/>
              </w:rPr>
              <w:t>113万</w:t>
            </w:r>
            <w:r>
              <w:rPr>
                <w:rFonts w:hint="eastAsia"/>
                <w:highlight w:val="none"/>
              </w:rPr>
              <w:t>平方米；生产</w:t>
            </w:r>
            <w:r>
              <w:rPr>
                <w:rFonts w:hint="eastAsia"/>
                <w:highlight w:val="none"/>
                <w:lang w:val="en-US" w:eastAsia="zh-CN"/>
              </w:rPr>
              <w:t>运行部9</w:t>
            </w:r>
            <w:r>
              <w:rPr>
                <w:rFonts w:hint="eastAsia"/>
                <w:highlight w:val="none"/>
              </w:rPr>
              <w:t>个</w:t>
            </w:r>
            <w:r>
              <w:rPr>
                <w:rFonts w:hint="eastAsia"/>
                <w:highlight w:val="none"/>
                <w:lang w:eastAsia="zh-CN"/>
              </w:rPr>
              <w:t>（</w:t>
            </w:r>
            <w:r>
              <w:rPr>
                <w:rFonts w:hint="eastAsia"/>
                <w:highlight w:val="none"/>
                <w:lang w:val="en-US" w:eastAsia="zh-CN"/>
              </w:rPr>
              <w:t>炼油运行一部</w:t>
            </w:r>
            <w:r>
              <w:rPr>
                <w:rFonts w:hint="eastAsia"/>
                <w:sz w:val="21"/>
                <w:szCs w:val="21"/>
                <w:highlight w:val="none"/>
                <w:lang w:val="en-US" w:eastAsia="zh-CN"/>
              </w:rPr>
              <w:t>、</w:t>
            </w:r>
            <w:r>
              <w:rPr>
                <w:rFonts w:hint="eastAsia"/>
                <w:highlight w:val="none"/>
                <w:lang w:val="en-US" w:eastAsia="zh-CN"/>
              </w:rPr>
              <w:t>炼油运行二部、炼油运行三部、炼油运行四部、炼油运行五部、热电运行部、水务运行部、化工运行部、储运运行部</w:t>
            </w:r>
            <w:r>
              <w:rPr>
                <w:rFonts w:hint="eastAsia"/>
                <w:highlight w:val="none"/>
              </w:rPr>
              <w:t>；库房</w:t>
            </w:r>
            <w:r>
              <w:rPr>
                <w:rFonts w:hint="eastAsia"/>
                <w:highlight w:val="none"/>
                <w:lang w:val="en-US" w:eastAsia="zh-CN"/>
              </w:rPr>
              <w:t>若干</w:t>
            </w:r>
            <w:r>
              <w:rPr>
                <w:rFonts w:hint="eastAsia"/>
                <w:highlight w:val="none"/>
                <w:lang w:eastAsia="zh-CN"/>
              </w:rPr>
              <w:t>（</w:t>
            </w:r>
            <w:r>
              <w:rPr>
                <w:rFonts w:hint="eastAsia"/>
                <w:highlight w:val="none"/>
                <w:lang w:val="en-US" w:eastAsia="zh-CN"/>
              </w:rPr>
              <w:t>固体产品，液体产品罐区和原料罐区、硫磺库、己内酰胺产品库、聚己内酰胺干切片库等</w:t>
            </w:r>
            <w:r>
              <w:rPr>
                <w:rFonts w:hint="eastAsia"/>
                <w:highlight w:val="none"/>
                <w:lang w:eastAsia="zh-CN"/>
              </w:rPr>
              <w:t>）</w:t>
            </w:r>
            <w:r>
              <w:rPr>
                <w:rFonts w:hint="eastAsia"/>
                <w:highlight w:val="none"/>
              </w:rPr>
              <w:t>；</w:t>
            </w:r>
            <w:r>
              <w:rPr>
                <w:rFonts w:hint="eastAsia"/>
                <w:highlight w:val="none"/>
                <w:lang w:val="en-US" w:eastAsia="zh-CN"/>
              </w:rPr>
              <w:t>检验计量中心1</w:t>
            </w:r>
            <w:r>
              <w:rPr>
                <w:rFonts w:hint="eastAsia"/>
                <w:highlight w:val="none"/>
              </w:rPr>
              <w:t>个；</w:t>
            </w:r>
            <w:r>
              <w:rPr>
                <w:rFonts w:hint="eastAsia"/>
                <w:highlight w:val="none"/>
                <w:lang w:val="en-US" w:eastAsia="zh-CN"/>
              </w:rPr>
              <w:t>电仪中心、消防中心、行政事务中心等</w:t>
            </w:r>
          </w:p>
          <w:p>
            <w:pPr>
              <w:shd w:val="clear" w:color="auto" w:fill="EBF1DE" w:themeFill="accent3" w:themeFillTint="32"/>
              <w:rPr>
                <w:highlight w:val="none"/>
                <w:u w:val="single"/>
              </w:rPr>
            </w:pPr>
            <w:r>
              <w:rPr>
                <w:rFonts w:hint="eastAsia"/>
              </w:rPr>
              <w:t>主要生产设备有：</w:t>
            </w:r>
            <w:r>
              <w:rPr>
                <w:rFonts w:hint="eastAsia"/>
                <w:sz w:val="21"/>
                <w:szCs w:val="21"/>
                <w:u w:val="single"/>
                <w:lang w:val="en-US" w:eastAsia="zh-CN"/>
              </w:rPr>
              <w:t>各生产装置如：1#常减压装置，3#催化裂化装置</w:t>
            </w:r>
            <w:r>
              <w:rPr>
                <w:rFonts w:hint="eastAsia"/>
                <w:sz w:val="21"/>
                <w:szCs w:val="21"/>
                <w:u w:val="single"/>
              </w:rPr>
              <w:t>，配套的公用工程系统</w:t>
            </w:r>
            <w:r>
              <w:rPr>
                <w:rFonts w:hint="eastAsia"/>
                <w:sz w:val="21"/>
                <w:szCs w:val="21"/>
                <w:u w:val="single"/>
                <w:lang w:val="en-US" w:eastAsia="zh-CN"/>
              </w:rPr>
              <w:t>CO锅炉、化工废液焚烧炉</w:t>
            </w:r>
            <w:r>
              <w:rPr>
                <w:rFonts w:hint="eastAsia"/>
                <w:color w:val="000000"/>
                <w:szCs w:val="22"/>
                <w:highlight w:val="none"/>
                <w:u w:val="single"/>
                <w:lang w:val="en-US" w:eastAsia="zh-CN"/>
              </w:rPr>
              <w:t>等</w:t>
            </w:r>
            <w:r>
              <w:rPr>
                <w:rFonts w:hint="eastAsia"/>
                <w:highlight w:val="none"/>
                <w:u w:val="single"/>
              </w:rPr>
              <w:t>（列举2~4种）</w:t>
            </w:r>
          </w:p>
          <w:p>
            <w:pPr>
              <w:shd w:val="clear" w:color="auto" w:fill="EBF1DE" w:themeFill="accent3" w:themeFillTint="32"/>
              <w:rPr>
                <w:rFonts w:hint="default" w:eastAsia="宋体"/>
                <w:highlight w:val="none"/>
                <w:u w:val="single"/>
                <w:lang w:val="en-US" w:eastAsia="zh-CN"/>
              </w:rPr>
            </w:pPr>
            <w:r>
              <w:rPr>
                <w:rFonts w:hint="eastAsia"/>
                <w:highlight w:val="none"/>
              </w:rPr>
              <w:t>主要耗能设备有：</w:t>
            </w:r>
            <w:r>
              <w:rPr>
                <w:rFonts w:hint="eastAsia"/>
                <w:highlight w:val="none"/>
                <w:u w:val="single"/>
                <w:lang w:val="en-US" w:eastAsia="zh-CN"/>
              </w:rPr>
              <w:t>压缩机</w:t>
            </w:r>
            <w:r>
              <w:rPr>
                <w:rFonts w:hint="eastAsia"/>
                <w:color w:val="000000"/>
                <w:szCs w:val="22"/>
                <w:highlight w:val="none"/>
                <w:u w:val="single"/>
              </w:rPr>
              <w:t>、</w:t>
            </w:r>
            <w:r>
              <w:rPr>
                <w:rFonts w:hint="eastAsia"/>
                <w:color w:val="000000"/>
                <w:szCs w:val="22"/>
                <w:highlight w:val="none"/>
                <w:u w:val="single"/>
                <w:lang w:val="en-US" w:eastAsia="zh-CN"/>
              </w:rPr>
              <w:t>空压机、变压器、锅炉、加热炉、焚烧炉</w:t>
            </w:r>
            <w:r>
              <w:rPr>
                <w:rFonts w:hint="eastAsia"/>
                <w:highlight w:val="none"/>
                <w:u w:val="single"/>
              </w:rPr>
              <w:t>（列举2~4种）</w:t>
            </w:r>
            <w:r>
              <w:rPr>
                <w:rFonts w:hint="eastAsia"/>
                <w:highlight w:val="none"/>
                <w:u w:val="single"/>
                <w:lang w:val="en-US" w:eastAsia="zh-CN"/>
              </w:rPr>
              <w:t>等</w:t>
            </w:r>
          </w:p>
          <w:p>
            <w:pPr>
              <w:shd w:val="clear" w:color="auto" w:fill="EBF1DE" w:themeFill="accent3" w:themeFillTint="32"/>
              <w:rPr>
                <w:rFonts w:hint="eastAsia" w:eastAsia="宋体"/>
                <w:lang w:eastAsia="zh-CN"/>
              </w:rPr>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sym w:font="Wingdings 2" w:char="0052"/>
            </w:r>
            <w:r>
              <w:rPr>
                <w:rFonts w:hint="eastAsia"/>
              </w:rPr>
              <w:t>锅炉</w:t>
            </w:r>
            <w:r>
              <w:rPr>
                <w:rFonts w:hint="eastAsia" w:ascii="Wingdings" w:hAnsi="Wingdings"/>
                <w:lang w:eastAsia="zh-CN"/>
              </w:rPr>
              <w:sym w:font="Wingdings 2" w:char="0052"/>
            </w:r>
            <w:r>
              <w:rPr>
                <w:rFonts w:hint="eastAsia"/>
              </w:rPr>
              <w:t>电梯</w:t>
            </w:r>
            <w:r>
              <w:rPr>
                <w:rFonts w:hint="eastAsia" w:ascii="Wingdings" w:hAnsi="Wingdings"/>
                <w:lang w:eastAsia="zh-CN"/>
              </w:rPr>
              <w:sym w:font="Wingdings 2" w:char="0052"/>
            </w:r>
            <w:r>
              <w:rPr>
                <w:rFonts w:hint="eastAsia"/>
                <w:lang w:val="en-US" w:eastAsia="zh-CN"/>
              </w:rPr>
              <w:t>压力容器</w:t>
            </w:r>
            <w:r>
              <w:rPr>
                <w:rFonts w:hint="eastAsia" w:ascii="Wingdings" w:hAnsi="Wingdings"/>
                <w:lang w:eastAsia="zh-CN"/>
              </w:rPr>
              <w:sym w:font="Wingdings 2" w:char="0052"/>
            </w:r>
            <w:r>
              <w:rPr>
                <w:rFonts w:hint="eastAsia"/>
                <w:lang w:val="en-US" w:eastAsia="zh-CN"/>
              </w:rPr>
              <w:t>压力管道</w:t>
            </w:r>
          </w:p>
          <w:p>
            <w:pPr>
              <w:shd w:val="clear" w:color="auto" w:fill="EBF1DE" w:themeFill="accent3" w:themeFillTint="32"/>
            </w:pPr>
            <w:r>
              <w:rPr>
                <w:rFonts w:hint="eastAsia"/>
              </w:rPr>
              <w:t>辅助场所：</w:t>
            </w:r>
            <w:r>
              <w:rPr>
                <w:rFonts w:hint="eastAsia" w:ascii="Wingdings" w:hAnsi="Wingdings"/>
                <w:lang w:eastAsia="zh-CN"/>
              </w:rPr>
              <w:sym w:font="Wingdings 2" w:char="0052"/>
            </w:r>
            <w:r>
              <w:rPr>
                <w:rFonts w:hint="eastAsia"/>
              </w:rPr>
              <w:t>高压配电室</w:t>
            </w:r>
            <w:r>
              <w:rPr>
                <w:rFonts w:hint="eastAsia" w:ascii="Wingdings" w:hAnsi="Wingdings"/>
                <w:lang w:eastAsia="zh-CN"/>
              </w:rPr>
              <w:sym w:font="Wingdings 2" w:char="0052"/>
            </w:r>
            <w:r>
              <w:rPr>
                <w:rFonts w:hint="eastAsia"/>
              </w:rPr>
              <w:t>低压配电</w:t>
            </w:r>
            <w:r>
              <w:rPr>
                <w:rFonts w:hint="eastAsia"/>
                <w:lang w:val="en-US" w:eastAsia="zh-CN"/>
              </w:rPr>
              <w:t>箱</w:t>
            </w:r>
            <w:r>
              <w:rPr>
                <w:rFonts w:hint="eastAsia" w:ascii="Wingdings" w:hAnsi="Wingdings"/>
                <w:lang w:eastAsia="zh-CN"/>
              </w:rPr>
              <w:sym w:font="Wingdings 2" w:char="0052"/>
            </w:r>
            <w:r>
              <w:rPr>
                <w:rFonts w:hint="eastAsia"/>
              </w:rPr>
              <w:t>空压站</w:t>
            </w:r>
            <w:r>
              <w:rPr>
                <w:rFonts w:hint="eastAsia" w:ascii="Wingdings" w:hAnsi="Wingdings"/>
                <w:lang w:eastAsia="zh-CN"/>
              </w:rPr>
              <w:sym w:font="Wingdings 2" w:char="0052"/>
            </w:r>
            <w:r>
              <w:rPr>
                <w:rFonts w:hint="eastAsia"/>
              </w:rPr>
              <w:t>锅炉房</w:t>
            </w:r>
            <w:r>
              <w:rPr>
                <w:rFonts w:hint="eastAsia" w:ascii="Wingdings" w:hAnsi="Wingdings"/>
                <w:lang w:eastAsia="zh-CN"/>
              </w:rPr>
              <w:sym w:font="Wingdings 2" w:char="0052"/>
            </w:r>
            <w:r>
              <w:rPr>
                <w:rFonts w:hint="eastAsia"/>
              </w:rPr>
              <w:t>食堂</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sym w:font="Wingdings 2" w:char="0052"/>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sym w:font="Wingdings 2" w:char="0052"/>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能源计量器具有：</w:t>
            </w:r>
            <w:r>
              <w:rPr>
                <w:rFonts w:hint="eastAsia"/>
                <w:highlight w:val="none"/>
                <w:u w:val="single"/>
                <w:lang w:val="en-US" w:eastAsia="zh-CN"/>
              </w:rPr>
              <w:t>电表、水表、天然气流量计等</w:t>
            </w:r>
            <w:r>
              <w:rPr>
                <w:rFonts w:hint="eastAsia"/>
                <w:highlight w:val="none"/>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highlight w:val="none"/>
                <w:lang w:eastAsia="zh-CN"/>
              </w:rPr>
              <w:sym w:font="Wingdings 2" w:char="0052"/>
            </w:r>
            <w:r>
              <w:rPr>
                <w:rFonts w:hint="eastAsia"/>
                <w:highlight w:val="none"/>
              </w:rPr>
              <w:t>进行了定期校准</w:t>
            </w:r>
            <w:r>
              <w:rPr>
                <w:rFonts w:hint="eastAsia"/>
              </w:rPr>
              <w:t>/检定</w:t>
            </w:r>
            <w:r>
              <w:rPr>
                <w:rFonts w:hint="eastAsia" w:ascii="Wingdings" w:hAnsi="Wingdings"/>
                <w:lang w:eastAsia="zh-CN"/>
              </w:rPr>
              <w:sym w:font="Wingdings 2" w:char="00A3"/>
            </w:r>
            <w:r>
              <w:rPr>
                <w:rFonts w:hint="eastAsia"/>
              </w:rPr>
              <w:t>未</w:t>
            </w:r>
            <w:r>
              <w:rPr>
                <w:rFonts w:hint="eastAsia"/>
                <w:lang w:val="en-US" w:eastAsia="zh-CN"/>
              </w:rPr>
              <w:t>提供</w:t>
            </w:r>
            <w:r>
              <w:rPr>
                <w:rFonts w:hint="eastAsia"/>
              </w:rPr>
              <w:t>行定期校准/检定</w:t>
            </w:r>
            <w:r>
              <w:rPr>
                <w:rFonts w:hint="eastAsia"/>
                <w:lang w:val="en-US" w:eastAsia="zh-CN"/>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auto"/>
                <w:lang w:eastAsia="zh-CN"/>
              </w:rPr>
              <w:sym w:font="Wingdings 2" w:char="0052"/>
            </w:r>
            <w:r>
              <w:rPr>
                <w:rFonts w:hint="eastAsia"/>
                <w:color w:val="auto"/>
              </w:rPr>
              <w:t>操作规程</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sym w:font="Wingdings 2" w:char="0052"/>
            </w:r>
            <w:r>
              <w:rPr>
                <w:rFonts w:hint="eastAsia"/>
                <w:color w:val="auto"/>
              </w:rPr>
              <w:t>工艺卡片</w:t>
            </w:r>
            <w:r>
              <w:rPr>
                <w:rFonts w:hint="eastAsia" w:ascii="Wingdings" w:hAnsi="Wingdings"/>
                <w:color w:val="auto"/>
                <w:lang w:eastAsia="zh-CN"/>
              </w:rPr>
              <w:sym w:font="Wingdings 2" w:char="0052"/>
            </w:r>
            <w:r>
              <w:rPr>
                <w:rFonts w:hint="eastAsia"/>
                <w:color w:val="auto"/>
              </w:rPr>
              <w:t>接收准则</w:t>
            </w:r>
            <w:r>
              <w:rPr>
                <w:rFonts w:hint="eastAsia" w:ascii="Wingdings" w:hAnsi="Wingdings"/>
                <w:color w:val="auto"/>
                <w:lang w:eastAsia="zh-CN"/>
              </w:rPr>
              <w:sym w:font="Wingdings 2" w:char="0052"/>
            </w:r>
            <w:r>
              <w:rPr>
                <w:rFonts w:hint="eastAsia"/>
                <w:color w:val="auto"/>
              </w:rPr>
              <w:t>工艺流程图</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ascii="Times New Roman" w:hAnsi="Times New Roman" w:eastAsia="宋体" w:cs="Times New Roman"/>
                <w:szCs w:val="22"/>
                <w:lang w:val="en-US" w:eastAsia="zh-CN"/>
              </w:rPr>
              <w:t>炼油运行</w:t>
            </w:r>
            <w:r>
              <w:rPr>
                <w:rFonts w:hint="eastAsia" w:ascii="Times New Roman" w:hAnsi="Times New Roman" w:eastAsia="宋体" w:cs="Times New Roman"/>
                <w:szCs w:val="22"/>
              </w:rPr>
              <w:t>五部蜡油加氢新氢压缩机K101B增上无级气量调节系统</w:t>
            </w:r>
            <w:r>
              <w:rPr>
                <w:rFonts w:hint="eastAsia"/>
                <w:highlight w:val="none"/>
                <w:u w:val="single"/>
              </w:rPr>
              <w:t>（</w:t>
            </w:r>
            <w:r>
              <w:rPr>
                <w:rFonts w:hint="eastAsia"/>
                <w:highlight w:val="none"/>
              </w:rPr>
              <w:t>举1例）</w:t>
            </w:r>
          </w:p>
          <w:p>
            <w:pPr>
              <w:shd w:val="clear" w:color="auto" w:fill="EBF1DE" w:themeFill="accent3" w:themeFillTint="32"/>
            </w:pPr>
            <w:r>
              <w:rPr>
                <w:rFonts w:hint="eastAsia"/>
              </w:rPr>
              <w:t>对该设计和开发的项目</w:t>
            </w:r>
            <w:r>
              <w:rPr>
                <w:rFonts w:hint="eastAsia"/>
                <w:lang w:val="en-US" w:eastAsia="zh-CN"/>
              </w:rPr>
              <w:t>不需要</w:t>
            </w:r>
            <w:r>
              <w:rPr>
                <w:rFonts w:hint="eastAsia"/>
              </w:rPr>
              <w:t>节能评估</w:t>
            </w:r>
            <w:r>
              <w:rPr>
                <w:rFonts w:hint="eastAsia"/>
                <w:lang w:eastAsia="zh-CN"/>
              </w:rPr>
              <w:t>（</w:t>
            </w:r>
            <w:r>
              <w:rPr>
                <w:rFonts w:hint="eastAsia"/>
                <w:lang w:val="en-US" w:eastAsia="zh-CN"/>
              </w:rPr>
              <w:t>项目小</w:t>
            </w:r>
            <w:r>
              <w:rPr>
                <w:rFonts w:hint="eastAsia"/>
                <w:lang w:eastAsia="zh-CN"/>
              </w:rPr>
              <w:t>）</w:t>
            </w:r>
            <w:r>
              <w:rPr>
                <w:rFonts w:hint="eastAsia"/>
              </w:rPr>
              <w:t>，并制订了相应的控制措施。</w:t>
            </w:r>
          </w:p>
          <w:p>
            <w:pPr>
              <w:shd w:val="clear" w:color="auto" w:fill="EBF1DE" w:themeFill="accent3" w:themeFillTint="32"/>
              <w:rPr>
                <w:rFonts w:hint="default" w:eastAsia="宋体"/>
                <w:lang w:val="en-US" w:eastAsia="zh-CN"/>
              </w:rPr>
            </w:pPr>
            <w:r>
              <w:rPr>
                <w:rFonts w:hint="eastAsia"/>
              </w:rPr>
              <w:t>设计和开发的节能措施控制：</w:t>
            </w:r>
            <w:r>
              <w:rPr>
                <w:rFonts w:hint="eastAsia" w:ascii="Times New Roman" w:hAnsi="Times New Roman" w:eastAsia="宋体" w:cs="Times New Roman"/>
                <w:szCs w:val="22"/>
                <w:lang w:val="en-US" w:eastAsia="zh-CN"/>
              </w:rPr>
              <w:t>K101B增上无级气量调节系统，现场增加无级调量油站，更换吸气阀，增加控制柜，引入DCS实现自动控制，</w:t>
            </w:r>
            <w:r>
              <w:rPr>
                <w:rFonts w:hint="eastAsia"/>
                <w:lang w:val="en-US" w:eastAsia="zh-CN"/>
              </w:rPr>
              <w:t>降低二回一阀门开度，实现节能降耗。</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能源采购</w:t>
            </w:r>
            <w:r>
              <w:rPr>
                <w:rFonts w:hint="eastAsia" w:ascii="Wingdings" w:hAnsi="Wingdings"/>
                <w:lang w:eastAsia="zh-CN"/>
              </w:rPr>
              <w:sym w:font="Wingdings 2" w:char="0052"/>
            </w:r>
            <w:r>
              <w:rPr>
                <w:rFonts w:hint="eastAsia"/>
              </w:rPr>
              <w:t>主要用能设备采购</w:t>
            </w:r>
            <w:r>
              <w:rPr>
                <w:rFonts w:hint="eastAsia" w:ascii="Wingdings" w:hAnsi="Wingdings"/>
                <w:lang w:eastAsia="zh-CN"/>
              </w:rPr>
              <w:sym w:font="Wingdings 2" w:char="00A3"/>
            </w:r>
            <w:r>
              <w:rPr>
                <w:rFonts w:hint="eastAsia"/>
              </w:rPr>
              <w:t>淘汰落后设备更新</w:t>
            </w:r>
            <w:r>
              <w:rPr>
                <w:rFonts w:hint="eastAsia" w:ascii="Wingdings" w:hAnsi="Wingdings"/>
                <w:lang w:eastAsia="zh-CN"/>
              </w:rPr>
              <w:sym w:font="Wingdings 2" w:char="0052"/>
            </w:r>
            <w:r>
              <w:rPr>
                <w:rFonts w:hint="eastAsia"/>
              </w:rPr>
              <w:t>能源计量器具采购</w:t>
            </w:r>
            <w:r>
              <w:rPr>
                <w:rFonts w:hint="eastAsia" w:ascii="Wingdings" w:hAnsi="Wingdings"/>
                <w:lang w:eastAsia="zh-CN"/>
              </w:rPr>
              <w:sym w:font="Wingdings 2" w:char="0052"/>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加强管理建立信息监控平台进行监控</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highlight w:val="none"/>
                    </w:rPr>
                    <w:t>天然气</w:t>
                  </w:r>
                  <w:r>
                    <w:rPr>
                      <w:rFonts w:hint="eastAsia"/>
                      <w:highlight w:val="none"/>
                      <w:lang w:eastAsia="zh-CN"/>
                    </w:rPr>
                    <w:t>（</w:t>
                  </w:r>
                  <w:r>
                    <w:rPr>
                      <w:rFonts w:hint="eastAsia"/>
                      <w:highlight w:val="none"/>
                      <w:lang w:val="en-US" w:eastAsia="zh-CN"/>
                    </w:rPr>
                    <w:t>瓦斯</w:t>
                  </w:r>
                  <w:r>
                    <w:rPr>
                      <w:rFonts w:hint="eastAsia"/>
                      <w:highlight w:val="none"/>
                      <w:lang w:eastAsia="zh-CN"/>
                    </w:rPr>
                    <w:t>）</w:t>
                  </w:r>
                  <w:r>
                    <w:rPr>
                      <w:rFonts w:hint="eastAsia"/>
                      <w:highlight w:val="none"/>
                    </w:rPr>
                    <w:t>消耗</w:t>
                  </w:r>
                </w:p>
              </w:tc>
              <w:tc>
                <w:tcPr>
                  <w:tcW w:w="3665" w:type="dxa"/>
                </w:tcPr>
                <w:p>
                  <w:pPr>
                    <w:shd w:val="clear" w:color="auto" w:fill="EBF1DE" w:themeFill="accent3" w:themeFillTint="32"/>
                    <w:jc w:val="left"/>
                    <w:rPr>
                      <w:rFonts w:hint="default" w:eastAsia="宋体"/>
                      <w:lang w:val="en-US" w:eastAsia="zh-CN"/>
                    </w:rPr>
                  </w:pPr>
                  <w:r>
                    <w:rPr>
                      <w:rFonts w:hint="eastAsia" w:eastAsia="宋体"/>
                      <w:lang w:val="en-US" w:eastAsia="zh-CN"/>
                    </w:rPr>
                    <w:t>对加热炉进行能效测试，设定目标指标管理</w:t>
                  </w:r>
                </w:p>
              </w:tc>
              <w:tc>
                <w:tcPr>
                  <w:tcW w:w="3265" w:type="dxa"/>
                </w:tcPr>
                <w:p>
                  <w:pPr>
                    <w:shd w:val="clear" w:color="auto" w:fill="EBF1DE" w:themeFill="accent3" w:themeFillTint="32"/>
                    <w:jc w:val="left"/>
                    <w:rPr>
                      <w:rFonts w:hint="default" w:eastAsia="宋体"/>
                      <w:lang w:val="en-US" w:eastAsia="zh-CN"/>
                    </w:rPr>
                  </w:pPr>
                  <w:r>
                    <w:rPr>
                      <w:rFonts w:hint="eastAsia" w:eastAsia="宋体"/>
                      <w:lang w:val="en-US" w:eastAsia="zh-CN"/>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加强节电管理，对用电设备进行监控、能效测试等</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eastAsia" w:eastAsia="宋体"/>
                      <w:lang w:eastAsia="zh-CN"/>
                    </w:rPr>
                  </w:pPr>
                  <w:r>
                    <w:rPr>
                      <w:rFonts w:hint="eastAsia"/>
                    </w:rPr>
                    <w:t>其他</w:t>
                  </w:r>
                </w:p>
              </w:tc>
              <w:tc>
                <w:tcPr>
                  <w:tcW w:w="3665" w:type="dxa"/>
                </w:tcPr>
                <w:p>
                  <w:pPr>
                    <w:shd w:val="clear" w:color="auto" w:fill="EBF1DE" w:themeFill="accent3" w:themeFillTint="32"/>
                    <w:jc w:val="left"/>
                    <w:rPr>
                      <w:rFonts w:hint="default" w:eastAsia="宋体"/>
                      <w:lang w:val="en-US" w:eastAsia="zh-CN"/>
                    </w:rPr>
                  </w:pPr>
                </w:p>
              </w:tc>
              <w:tc>
                <w:tcPr>
                  <w:tcW w:w="3265" w:type="dxa"/>
                </w:tcPr>
                <w:p>
                  <w:pPr>
                    <w:shd w:val="clear" w:color="auto" w:fill="EBF1DE" w:themeFill="accent3" w:themeFillTint="32"/>
                    <w:jc w:val="left"/>
                    <w:rPr>
                      <w:rFonts w:hint="default" w:eastAsia="宋体"/>
                      <w:lang w:val="en-US" w:eastAsia="zh-CN"/>
                    </w:rPr>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sym w:font="Wingdings 2" w:char="0052"/>
            </w:r>
            <w:r>
              <w:rPr>
                <w:rFonts w:hint="eastAsia"/>
              </w:rPr>
              <w:t>节能技术的实施</w:t>
            </w:r>
            <w:bookmarkStart w:id="29" w:name="_GoBack"/>
            <w:bookmarkEnd w:id="29"/>
            <w:r>
              <w:rPr>
                <w:rFonts w:hint="eastAsia" w:ascii="Wingdings" w:hAnsi="Wingdings"/>
                <w:lang w:eastAsia="zh-CN"/>
              </w:rPr>
              <w:sym w:font="Wingdings 2" w:char="0052"/>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定期（每年）：</w:t>
            </w:r>
            <w:r>
              <w:rPr>
                <w:rFonts w:hint="eastAsia"/>
                <w:highlight w:val="none"/>
                <w:lang w:val="en-US" w:eastAsia="zh-CN"/>
              </w:rPr>
              <w:t>2022</w:t>
            </w:r>
            <w:r>
              <w:rPr>
                <w:rFonts w:hint="eastAsia"/>
                <w:highlight w:val="none"/>
              </w:rPr>
              <w:t>年</w:t>
            </w:r>
            <w:r>
              <w:rPr>
                <w:rFonts w:hint="eastAsia"/>
                <w:highlight w:val="none"/>
                <w:lang w:val="en-US" w:eastAsia="zh-CN"/>
              </w:rPr>
              <w:t>一季度</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52"/>
            </w:r>
            <w:r>
              <w:rPr>
                <w:rFonts w:hint="eastAsia"/>
              </w:rPr>
              <w:t>企业自测</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rPr>
                <w:rFonts w:hint="default"/>
                <w:lang w:val="en-US" w:eastAsia="zh-CN"/>
              </w:rPr>
            </w:pPr>
            <w:r>
              <w:rPr>
                <w:rFonts w:hint="eastAsia"/>
              </w:rPr>
              <w:t>《能效测试报告》编号：</w:t>
            </w:r>
            <w:r>
              <w:rPr>
                <w:rFonts w:hint="eastAsia"/>
                <w:lang w:val="en-US" w:eastAsia="zh-CN"/>
              </w:rPr>
              <w:t>企业目前委托</w:t>
            </w:r>
            <w:r>
              <w:rPr>
                <w:rFonts w:hint="eastAsia" w:ascii="Times New Roman" w:hAnsi="Times New Roman" w:eastAsia="宋体" w:cs="Times New Roman"/>
                <w:lang w:val="en-US" w:eastAsia="zh-CN"/>
              </w:rPr>
              <w:t>岳阳长岭设备研究所有限公司节能环境监测中心</w:t>
            </w:r>
            <w:r>
              <w:rPr>
                <w:rFonts w:hint="eastAsia"/>
                <w:lang w:val="en-US" w:eastAsia="zh-CN"/>
              </w:rPr>
              <w:t>对加热炉进行能效测试，测试报告见证据文件包；对主要用电设备的测试采用企业自测，测试结果在相关审核记录中描述。</w:t>
            </w:r>
          </w:p>
          <w:p>
            <w:pPr>
              <w:shd w:val="clear" w:color="auto" w:fill="EBF1DE" w:themeFill="accent3" w:themeFillTint="32"/>
              <w:rPr>
                <w:rFonts w:hint="default" w:eastAsia="宋体"/>
                <w:lang w:val="en-US" w:eastAsia="zh-CN"/>
              </w:rPr>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sym w:font="Wingdings 2" w:char="00A3"/>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highlight w:val="none"/>
                <w:lang w:val="en-US" w:eastAsia="zh-CN"/>
              </w:rPr>
              <w:t>8</w:t>
            </w:r>
            <w:r>
              <w:rPr>
                <w:rFonts w:hint="eastAsia"/>
                <w:highlight w:val="none"/>
              </w:rPr>
              <w:t>月</w:t>
            </w:r>
            <w:r>
              <w:rPr>
                <w:rFonts w:hint="eastAsia"/>
                <w:highlight w:val="none"/>
                <w:lang w:val="en-US" w:eastAsia="zh-CN"/>
              </w:rPr>
              <w:t>15-25</w:t>
            </w:r>
            <w:r>
              <w:rPr>
                <w:rFonts w:hint="eastAsia"/>
                <w:highlight w:val="none"/>
              </w:rPr>
              <w:t>日</w:t>
            </w:r>
            <w:r>
              <w:rPr>
                <w:rFonts w:hint="eastAsia"/>
              </w:rPr>
              <w:t>实施了能源管理体系内部审核，对能源管理体系的符合性和有效性进行了审核。内审发现的</w:t>
            </w:r>
            <w:r>
              <w:rPr>
                <w:rFonts w:hint="eastAsia"/>
                <w:lang w:val="en-US" w:eastAsia="zh-CN"/>
              </w:rPr>
              <w:t>3</w:t>
            </w:r>
            <w:r>
              <w:rPr>
                <w:rFonts w:hint="eastAsia"/>
              </w:rPr>
              <w:t>项不符合</w:t>
            </w:r>
            <w:r>
              <w:rPr>
                <w:rFonts w:hint="eastAsia"/>
                <w:lang w:eastAsia="zh-CN"/>
              </w:rPr>
              <w:t>（</w:t>
            </w:r>
            <w:r>
              <w:rPr>
                <w:rFonts w:hint="eastAsia"/>
                <w:lang w:val="en-US" w:eastAsia="zh-CN"/>
              </w:rPr>
              <w:t>能源管理体系</w:t>
            </w:r>
            <w:r>
              <w:rPr>
                <w:rFonts w:hint="eastAsia"/>
                <w:lang w:eastAsia="zh-CN"/>
              </w:rPr>
              <w:t>）</w:t>
            </w:r>
            <w:r>
              <w:rPr>
                <w:rFonts w:hint="eastAsia"/>
              </w:rPr>
              <w:t>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sym w:font="Wingdings 2" w:char="0052"/>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lang w:val="en-US" w:eastAsia="zh-CN"/>
              </w:rPr>
            </w:pPr>
            <w:r>
              <w:rPr>
                <w:rFonts w:hint="eastAsia"/>
              </w:rPr>
              <w:t>最高管理者已按策划的时间间隔，在</w:t>
            </w:r>
            <w:r>
              <w:rPr>
                <w:rFonts w:hint="eastAsia"/>
                <w:lang w:val="en-US" w:eastAsia="zh-CN"/>
              </w:rPr>
              <w:t>2021</w:t>
            </w:r>
            <w:r>
              <w:rPr>
                <w:rFonts w:hint="eastAsia"/>
              </w:rPr>
              <w:t>年</w:t>
            </w:r>
            <w:r>
              <w:rPr>
                <w:rFonts w:hint="eastAsia"/>
                <w:highlight w:val="none"/>
                <w:lang w:val="en-US" w:eastAsia="zh-CN"/>
              </w:rPr>
              <w:t>11</w:t>
            </w:r>
            <w:r>
              <w:rPr>
                <w:rFonts w:hint="eastAsia"/>
                <w:highlight w:val="none"/>
              </w:rPr>
              <w:t>月</w:t>
            </w:r>
            <w:r>
              <w:rPr>
                <w:rFonts w:hint="eastAsia"/>
                <w:highlight w:val="none"/>
                <w:lang w:val="en-US" w:eastAsia="zh-CN"/>
              </w:rPr>
              <w:t>29</w:t>
            </w:r>
            <w:r>
              <w:rPr>
                <w:rFonts w:hint="eastAsia"/>
              </w:rPr>
              <w:t>日对组织的能源管理体系进行了评审，以确保其持续的适宜性、充分性和有效性；管理评审输入、输出均按要求提供。并对提出的改进措施进行了落实。</w:t>
            </w:r>
          </w:p>
          <w:p>
            <w:pPr>
              <w:shd w:val="clear" w:color="auto" w:fill="EBF1DE" w:themeFill="accent3" w:themeFillTint="32"/>
              <w:rPr>
                <w:rFonts w:hint="default"/>
                <w:lang w:val="en-US"/>
              </w:rPr>
            </w:pPr>
            <w:r>
              <w:rPr>
                <w:rFonts w:hint="eastAsia" w:ascii="宋体" w:hAnsi="宋体" w:eastAsia="宋体"/>
                <w:color w:val="0000FF"/>
                <w:sz w:val="21"/>
                <w:szCs w:val="21"/>
                <w:lang w:val="en-US" w:eastAsia="zh-CN"/>
              </w:rPr>
              <w:t>注：由于疫情原因和企业策划考虑按照整年度（2022年度）的活动组织公司管理评审更为合理，因此策划管理评审于计划2023年1月10日左右进行。——建议下次监督审核时关注。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10"/>
        <w:tblW w:w="100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133"/>
        <w:gridCol w:w="820"/>
        <w:gridCol w:w="860"/>
        <w:gridCol w:w="810"/>
        <w:gridCol w:w="830"/>
        <w:gridCol w:w="855"/>
        <w:gridCol w:w="779"/>
        <w:gridCol w:w="780"/>
        <w:gridCol w:w="779"/>
        <w:gridCol w:w="677"/>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820"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86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810"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83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855"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677"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0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82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6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81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83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5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7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0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yellow"/>
                <w:lang w:val="en-US" w:eastAsia="zh-CN" w:bidi="ar-SA"/>
              </w:rPr>
            </w:pPr>
            <w:r>
              <w:rPr>
                <w:rFonts w:hint="eastAsia"/>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820" w:type="dxa"/>
            <w:shd w:val="clear" w:color="auto" w:fill="EBF1DE" w:themeFill="accent3" w:themeFillTint="32"/>
            <w:vAlign w:val="center"/>
          </w:tcPr>
          <w:p>
            <w:pPr>
              <w:shd w:val="clear" w:color="auto" w:fill="EBF1DE" w:themeFill="accent3" w:themeFillTint="32"/>
              <w:rPr>
                <w:lang w:eastAsia="ja-JP"/>
              </w:rPr>
            </w:pPr>
          </w:p>
        </w:tc>
        <w:tc>
          <w:tcPr>
            <w:tcW w:w="860" w:type="dxa"/>
            <w:shd w:val="clear" w:color="auto" w:fill="EBF1DE" w:themeFill="accent3" w:themeFillTint="32"/>
          </w:tcPr>
          <w:p>
            <w:pPr>
              <w:shd w:val="clear" w:color="auto" w:fill="EBF1DE" w:themeFill="accent3" w:themeFillTint="32"/>
              <w:rPr>
                <w:lang w:eastAsia="ja-JP"/>
              </w:rPr>
            </w:pPr>
          </w:p>
        </w:tc>
        <w:tc>
          <w:tcPr>
            <w:tcW w:w="810" w:type="dxa"/>
            <w:shd w:val="clear" w:color="auto" w:fill="EBF1DE" w:themeFill="accent3" w:themeFillTint="32"/>
            <w:vAlign w:val="center"/>
          </w:tcPr>
          <w:p>
            <w:pPr>
              <w:shd w:val="clear" w:color="auto" w:fill="EBF1DE" w:themeFill="accent3" w:themeFillTint="32"/>
              <w:rPr>
                <w:lang w:eastAsia="ja-JP"/>
              </w:rPr>
            </w:pPr>
          </w:p>
        </w:tc>
        <w:tc>
          <w:tcPr>
            <w:tcW w:w="830" w:type="dxa"/>
            <w:shd w:val="clear" w:color="auto" w:fill="EBF1DE" w:themeFill="accent3" w:themeFillTint="32"/>
            <w:vAlign w:val="center"/>
          </w:tcPr>
          <w:p>
            <w:pPr>
              <w:shd w:val="clear" w:color="auto" w:fill="EBF1DE" w:themeFill="accent3" w:themeFillTint="32"/>
              <w:rPr>
                <w:lang w:eastAsia="ja-JP"/>
              </w:rPr>
            </w:pPr>
          </w:p>
        </w:tc>
        <w:tc>
          <w:tcPr>
            <w:tcW w:w="855"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677" w:type="dxa"/>
            <w:shd w:val="clear" w:color="auto" w:fill="EBF1DE" w:themeFill="accent3" w:themeFillTint="32"/>
            <w:vAlign w:val="center"/>
          </w:tcPr>
          <w:p>
            <w:pPr>
              <w:shd w:val="clear" w:color="auto" w:fill="EBF1DE" w:themeFill="accent3" w:themeFillTint="32"/>
              <w:rPr>
                <w:lang w:eastAsia="ja-JP"/>
              </w:rPr>
            </w:pPr>
          </w:p>
        </w:tc>
        <w:tc>
          <w:tcPr>
            <w:tcW w:w="700" w:type="dxa"/>
            <w:shd w:val="clear" w:color="auto" w:fill="EBF1DE" w:themeFill="accent3" w:themeFillTint="32"/>
            <w:vAlign w:val="center"/>
          </w:tcPr>
          <w:p>
            <w:pPr>
              <w:shd w:val="clear" w:color="auto" w:fill="EBF1DE" w:themeFill="accent3" w:themeFillTint="32"/>
              <w:rPr>
                <w:rFonts w:hint="default" w:ascii="Times New Roman" w:hAnsi="Times New Roman" w:eastAsia="宋体" w:cs="Times New Roman"/>
                <w:kern w:val="2"/>
                <w:sz w:val="21"/>
                <w:szCs w:val="24"/>
                <w:highlight w:val="yellow"/>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820"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86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810"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83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855"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677"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0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82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6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81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3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5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7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0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820" w:type="dxa"/>
            <w:shd w:val="clear" w:color="auto" w:fill="EBF1DE" w:themeFill="accent3" w:themeFillTint="32"/>
            <w:vAlign w:val="center"/>
          </w:tcPr>
          <w:p>
            <w:pPr>
              <w:shd w:val="clear" w:color="auto" w:fill="EBF1DE" w:themeFill="accent3" w:themeFillTint="32"/>
            </w:pPr>
          </w:p>
        </w:tc>
        <w:tc>
          <w:tcPr>
            <w:tcW w:w="860" w:type="dxa"/>
            <w:shd w:val="clear" w:color="auto" w:fill="EBF1DE" w:themeFill="accent3" w:themeFillTint="32"/>
            <w:vAlign w:val="center"/>
          </w:tcPr>
          <w:p>
            <w:pPr>
              <w:shd w:val="clear" w:color="auto" w:fill="EBF1DE" w:themeFill="accent3" w:themeFillTint="32"/>
              <w:rPr>
                <w:lang w:eastAsia="ja-JP"/>
              </w:rPr>
            </w:pPr>
          </w:p>
        </w:tc>
        <w:tc>
          <w:tcPr>
            <w:tcW w:w="810" w:type="dxa"/>
            <w:shd w:val="clear" w:color="auto" w:fill="EBF1DE" w:themeFill="accent3" w:themeFillTint="32"/>
            <w:vAlign w:val="center"/>
          </w:tcPr>
          <w:p>
            <w:pPr>
              <w:shd w:val="clear" w:color="auto" w:fill="EBF1DE" w:themeFill="accent3" w:themeFillTint="32"/>
              <w:rPr>
                <w:lang w:eastAsia="ja-JP"/>
              </w:rPr>
            </w:pPr>
          </w:p>
        </w:tc>
        <w:tc>
          <w:tcPr>
            <w:tcW w:w="830" w:type="dxa"/>
            <w:shd w:val="clear" w:color="auto" w:fill="EBF1DE" w:themeFill="accent3" w:themeFillTint="32"/>
            <w:vAlign w:val="center"/>
          </w:tcPr>
          <w:p>
            <w:pPr>
              <w:shd w:val="clear" w:color="auto" w:fill="EBF1DE" w:themeFill="accent3" w:themeFillTint="32"/>
              <w:rPr>
                <w:lang w:eastAsia="ja-JP"/>
              </w:rPr>
            </w:pPr>
          </w:p>
        </w:tc>
        <w:tc>
          <w:tcPr>
            <w:tcW w:w="855"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67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0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820" w:type="dxa"/>
            <w:shd w:val="clear" w:color="auto" w:fill="EBF1DE" w:themeFill="accent3" w:themeFillTint="32"/>
            <w:vAlign w:val="center"/>
          </w:tcPr>
          <w:p>
            <w:pPr>
              <w:shd w:val="clear" w:color="auto" w:fill="EBF1DE" w:themeFill="accent3" w:themeFillTint="32"/>
            </w:pPr>
            <w:r>
              <w:rPr>
                <w:rFonts w:hint="eastAsia"/>
              </w:rPr>
              <w:t>8.3</w:t>
            </w:r>
          </w:p>
        </w:tc>
        <w:tc>
          <w:tcPr>
            <w:tcW w:w="86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810"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83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855"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rPr>
              <w:t>10</w:t>
            </w: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10.2</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677" w:type="dxa"/>
            <w:shd w:val="clear" w:color="auto" w:fill="EBF1DE" w:themeFill="accent3" w:themeFillTint="32"/>
            <w:vAlign w:val="center"/>
          </w:tcPr>
          <w:p>
            <w:pPr>
              <w:shd w:val="clear" w:color="auto" w:fill="EBF1DE" w:themeFill="accent3" w:themeFillTint="32"/>
              <w:rPr>
                <w:lang w:eastAsia="ja-JP"/>
              </w:rPr>
            </w:pPr>
          </w:p>
        </w:tc>
        <w:tc>
          <w:tcPr>
            <w:tcW w:w="70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82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6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81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3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55"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677" w:type="dxa"/>
            <w:shd w:val="clear" w:color="auto" w:fill="EBF1DE" w:themeFill="accent3" w:themeFillTint="32"/>
            <w:vAlign w:val="center"/>
          </w:tcPr>
          <w:p>
            <w:pPr>
              <w:shd w:val="clear" w:color="auto" w:fill="EBF1DE" w:themeFill="accent3" w:themeFillTint="32"/>
              <w:rPr>
                <w:lang w:eastAsia="ja-JP"/>
              </w:rPr>
            </w:pPr>
          </w:p>
        </w:tc>
        <w:tc>
          <w:tcPr>
            <w:tcW w:w="70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820" w:type="dxa"/>
            <w:shd w:val="clear" w:color="auto" w:fill="EBF1DE" w:themeFill="accent3" w:themeFillTint="32"/>
            <w:vAlign w:val="center"/>
          </w:tcPr>
          <w:p>
            <w:pPr>
              <w:shd w:val="clear" w:color="auto" w:fill="EBF1DE" w:themeFill="accent3" w:themeFillTint="32"/>
              <w:rPr>
                <w:lang w:eastAsia="ja-JP"/>
              </w:rPr>
            </w:pPr>
          </w:p>
        </w:tc>
        <w:tc>
          <w:tcPr>
            <w:tcW w:w="860" w:type="dxa"/>
            <w:shd w:val="clear" w:color="auto" w:fill="EBF1DE" w:themeFill="accent3" w:themeFillTint="32"/>
          </w:tcPr>
          <w:p>
            <w:pPr>
              <w:shd w:val="clear" w:color="auto" w:fill="EBF1DE" w:themeFill="accent3" w:themeFillTint="32"/>
              <w:rPr>
                <w:lang w:eastAsia="ja-JP"/>
              </w:rPr>
            </w:pPr>
          </w:p>
        </w:tc>
        <w:tc>
          <w:tcPr>
            <w:tcW w:w="810" w:type="dxa"/>
            <w:shd w:val="clear" w:color="auto" w:fill="EBF1DE" w:themeFill="accent3" w:themeFillTint="32"/>
            <w:vAlign w:val="center"/>
          </w:tcPr>
          <w:p>
            <w:pPr>
              <w:shd w:val="clear" w:color="auto" w:fill="EBF1DE" w:themeFill="accent3" w:themeFillTint="32"/>
              <w:rPr>
                <w:lang w:eastAsia="ja-JP"/>
              </w:rPr>
            </w:pPr>
          </w:p>
        </w:tc>
        <w:tc>
          <w:tcPr>
            <w:tcW w:w="830" w:type="dxa"/>
            <w:shd w:val="clear" w:color="auto" w:fill="EBF1DE" w:themeFill="accent3" w:themeFillTint="32"/>
            <w:vAlign w:val="center"/>
          </w:tcPr>
          <w:p>
            <w:pPr>
              <w:shd w:val="clear" w:color="auto" w:fill="EBF1DE" w:themeFill="accent3" w:themeFillTint="32"/>
              <w:rPr>
                <w:lang w:eastAsia="ja-JP"/>
              </w:rPr>
            </w:pPr>
          </w:p>
        </w:tc>
        <w:tc>
          <w:tcPr>
            <w:tcW w:w="855"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677" w:type="dxa"/>
            <w:shd w:val="clear" w:color="auto" w:fill="EBF1DE" w:themeFill="accent3" w:themeFillTint="32"/>
            <w:vAlign w:val="center"/>
          </w:tcPr>
          <w:p>
            <w:pPr>
              <w:shd w:val="clear" w:color="auto" w:fill="EBF1DE" w:themeFill="accent3" w:themeFillTint="32"/>
              <w:rPr>
                <w:lang w:eastAsia="ja-JP"/>
              </w:rPr>
            </w:pPr>
          </w:p>
        </w:tc>
        <w:tc>
          <w:tcPr>
            <w:tcW w:w="70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786684C4"/>
    <w:multiLevelType w:val="singleLevel"/>
    <w:tmpl w:val="786684C4"/>
    <w:lvl w:ilvl="0" w:tentative="0">
      <w:start w:val="1"/>
      <w:numFmt w:val="bullet"/>
      <w:pStyle w:val="4"/>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A784C4F"/>
    <w:rsid w:val="0B840CDC"/>
    <w:rsid w:val="16E777A2"/>
    <w:rsid w:val="210C6708"/>
    <w:rsid w:val="283C6075"/>
    <w:rsid w:val="41A90F73"/>
    <w:rsid w:val="429E0143"/>
    <w:rsid w:val="5C606D11"/>
    <w:rsid w:val="6A8650AB"/>
    <w:rsid w:val="73C25590"/>
    <w:rsid w:val="7BA07163"/>
    <w:rsid w:val="7E8E46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qFormat/>
    <w:uiPriority w:val="0"/>
    <w:rPr>
      <w:sz w:val="24"/>
    </w:rPr>
  </w:style>
  <w:style w:type="paragraph" w:styleId="4">
    <w:name w:val="List Bullet 5"/>
    <w:basedOn w:val="1"/>
    <w:semiHidden/>
    <w:unhideWhenUsed/>
    <w:qFormat/>
    <w:uiPriority w:val="99"/>
    <w:pPr>
      <w:numPr>
        <w:ilvl w:val="0"/>
        <w:numId w:val="1"/>
      </w:numPr>
    </w:p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3165</Words>
  <Characters>18045</Characters>
  <Lines>150</Lines>
  <Paragraphs>42</Paragraphs>
  <TotalTime>9</TotalTime>
  <ScaleCrop>false</ScaleCrop>
  <LinksUpToDate>false</LinksUpToDate>
  <CharactersWithSpaces>21168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2023-01-01T05:10:49Z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