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963"/>
        <w:gridCol w:w="862"/>
        <w:gridCol w:w="86"/>
        <w:gridCol w:w="1230"/>
        <w:gridCol w:w="186"/>
        <w:gridCol w:w="86"/>
        <w:gridCol w:w="1004"/>
        <w:gridCol w:w="416"/>
        <w:gridCol w:w="908"/>
        <w:gridCol w:w="628"/>
        <w:gridCol w:w="131"/>
        <w:gridCol w:w="163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92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中国石油化工股份有限公司石家庄炼化分公司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92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石家庄石炼路1号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92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石家庄石炼路1号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2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13933125571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27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27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1334-2022-EnMs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92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9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0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9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92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2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3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92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92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2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92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4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2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63" w:type="dxa"/>
            <w:gridSpan w:val="1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车用汽油、车用柴油、3号喷气燃料、聚合级丙烯、道路石油沥青、石油苯、石油甲苯、石油混合二甲苯、石油焦、工业用己内酰胺、肥料级硫酸铵、聚己内酰胺干切片、工业硫磺（液体）、石脑油、液化石油气（商品丙丁烷混合物）、工业纯氢、燃料油、戊烷发泡剂、工业用碳十粗芳烃、异辛烷组分生产、聚丙烯树脂的研发和生产所涉及的能源管理活动。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2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92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115-2014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F/5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2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9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2022年12月29日 上午至2022年12月30日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2.0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9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远程审核于2022年12月29日 上午至2022年12月30日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9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马佳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2020-N1EnMS-2061499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13701012828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范玲玲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6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2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7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Align w:val="center"/>
          </w:tcPr>
          <w:p/>
        </w:tc>
        <w:tc>
          <w:tcPr>
            <w:tcW w:w="96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1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9" w:type="dxa"/>
            <w:vAlign w:val="center"/>
          </w:tcPr>
          <w:p/>
        </w:tc>
        <w:tc>
          <w:tcPr>
            <w:tcW w:w="96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/>
        </w:tc>
        <w:tc>
          <w:tcPr>
            <w:tcW w:w="1671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9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66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9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31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2022.12.26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2022.12.26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71"/>
        <w:gridCol w:w="1283"/>
        <w:gridCol w:w="3925"/>
        <w:gridCol w:w="150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12-29</w:t>
            </w:r>
          </w:p>
        </w:tc>
        <w:tc>
          <w:tcPr>
            <w:tcW w:w="957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第1天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12-29</w:t>
            </w:r>
          </w:p>
        </w:tc>
        <w:tc>
          <w:tcPr>
            <w:tcW w:w="1371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283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92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5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钉钉会议+现场会议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12-29</w:t>
            </w: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8:30-10:30</w:t>
            </w:r>
          </w:p>
        </w:tc>
        <w:tc>
          <w:tcPr>
            <w:tcW w:w="1283" w:type="dxa"/>
            <w:shd w:val="clear" w:color="auto" w:fill="auto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92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体系策划过程、管理承诺相关过程、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资源提供过程、管理评审过程、持续改进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50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EnMS:4.1/4.2/4.3/4.4/5.1/5.2/5.3/6.1/6.2/7.1/9.3/10.2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10：30-12:00</w:t>
            </w:r>
          </w:p>
        </w:tc>
        <w:tc>
          <w:tcPr>
            <w:tcW w:w="1283" w:type="dxa"/>
            <w:shd w:val="clear" w:color="auto" w:fill="auto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设备工程部</w:t>
            </w:r>
          </w:p>
        </w:tc>
        <w:tc>
          <w:tcPr>
            <w:tcW w:w="392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部门职责权限、目标指标、设备风险控制、运行控制、能源（电）采购及用能设备采购、用能设备的绩效监视和测量分析与评价、不符合纠正措施</w:t>
            </w:r>
          </w:p>
        </w:tc>
        <w:tc>
          <w:tcPr>
            <w:tcW w:w="1500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EnMS:5.3/6.2/6.1/8.1/8.3/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9.1.1/10.1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283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炼油运行四部（关注不同班次）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12-29</w:t>
            </w: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283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风险的策划与控制、能源评审、能源绩效参数、能源基准、能源数据收集的策划、运行控制、设计与研发、资源（水）采购、法律法规及其它要求的收集及合规性评价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EnMS:5.3/6.2/6.1/6.3/6.4/6.5/6.6/7.4/8.1/8.2/8.3/9.1.1/4.2/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A（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炼油运行一部（关注不同班次）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A（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12-29</w:t>
            </w: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283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发展计划部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部门职责权限、目标指标、运行控制、能源（原油、天然气）采购、绩效监视和测量分析与评价、不符合纠正和纠正措施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EnMS:5.3/6.2/8.1/8.3/9.1.1/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27" w:name="_GoBack"/>
            <w:bookmarkEnd w:id="27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D（远程微信、QQ等）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1283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党委组织部（资源管理部）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部门职责权限、目标指标、人员能力、意识、信息沟通、运行控制、不符合纠正和纠正措施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EnMS:5.3/6.2//7.2/7.3/7.4/8.1/10.1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D（远程微信、QQ等）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1283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物资采购中心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部门职责权限、目标指标、能源（蒸汽）采购及用能设备采购、不符合纠正和纠正措施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EnMS:5.3/6.2/8.3/10.1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D（远程微信、QQ等）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12-29</w:t>
            </w: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283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炼油运行二部（关注不同班次）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炼油运行五部（关注不同班次）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12-29</w:t>
            </w: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部门职责权限、目标指标、运行控制、绩效监视和测量分析与评价、不符合纠正和纠正措施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EnMS:5.3/6.2/8.1/9.1.1/10.1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E（远程微信、QQ等）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13:00-17:00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企业管理部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部门职责权限、目标指标、信息交流、文件管理控制、运行控制、内部审核实施、不符合纠正和纠正措施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EnMS:5.3/6.2/7.4/7.5/8.1/9.2/10.1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E（远程微信、QQ等）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12-30</w:t>
            </w:r>
          </w:p>
        </w:tc>
        <w:tc>
          <w:tcPr>
            <w:tcW w:w="9571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12-30</w:t>
            </w: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炼油运行三部（关注不同班次）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A（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热电运行部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A（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化工运行部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A（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Hans"/>
              </w:rPr>
              <w:t>检验计量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中心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部门职责权限、目标指标、运行控制、能源及用能设备采购的控制不符合纠正和纠正措施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EnMS:5.3/6.2/6.6/8.1/10.1</w:t>
            </w:r>
          </w:p>
          <w:p>
            <w:pPr>
              <w:spacing w:line="300" w:lineRule="exact"/>
              <w:rPr>
                <w:rFonts w:hint="eastAsia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Hans"/>
              </w:rPr>
              <w:t>电气仪表中心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12-30</w:t>
            </w: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储运运行部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水务运行部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Hans"/>
              </w:rPr>
              <w:t>编组站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部门职责权限、目标指标、能源评审、能源绩效参数、能源基准、能源数据收集的策划、信息沟通、运行控制、绩效测量与分析评价、不符合纠正和纠正措施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EnMS:5.3/6.2/6.3/6.4/6.5/6.6/7.4/8.1/9.1.1/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12-30</w:t>
            </w: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8:0010:00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销运管理部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部门职责权限、目标指标、信息沟通、运行控制、不符合纠正和纠正措施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EnMS:5.3/6.2/7.4/8.1/10.1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D（远程微信、QQ等）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行政事务中心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部门职责权限、目标指标、信息沟通、运行控制、不符合纠正和纠正措施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EnMS:5.3/6.2/7.4/8.1/10.1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D（远程微信、QQ等）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纪委（监督部）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部门职责权限、目标指标、信息沟通、运行控制、不符合纠正和纠正措施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EnMS:5.3/6.2/7.4/8.1/10.1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D（远程微信、QQ等）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14:30-16:00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审计管理部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部门职责权限、目标指标、信息沟通、运行控制、不符合纠正和纠正措施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EnMS:5.3/6.2/7.4/8.1/10.1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D（远程微信、QQ等）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12-30</w:t>
            </w: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党群文化部（工会、团委、宣传部）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部门职责权限、目标指标、信息沟通、运行控制、不符合纠正和纠正措施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EnMS:5.3/6.2/7.4/8.1/10.1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安全环保部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信息中心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部门职责权限、目标指标、信息沟通、运行控制、不符合纠正和纠正措施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EnMS:5.3/6.2/7.4/8.1/10.1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财务管理部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部门职责权限、目标指标、资金提供、运行控制、不符合纠正和纠正措施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EnMS:5.3/6.2/7.1/8.1/10.1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消防救援支队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部门职责权限、目标指标、信息沟通、运行控制、不符合纠正和纠正措施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EnMS:5.3/6.2/7.4/8.1/10.1</w:t>
            </w: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74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12-30</w:t>
            </w:r>
          </w:p>
        </w:tc>
        <w:tc>
          <w:tcPr>
            <w:tcW w:w="137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28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管代及相关人员</w:t>
            </w:r>
          </w:p>
        </w:tc>
        <w:tc>
          <w:tcPr>
            <w:tcW w:w="392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不符合及问题项</w:t>
            </w:r>
          </w:p>
        </w:tc>
        <w:tc>
          <w:tcPr>
            <w:tcW w:w="15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钉钉会议+现场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12-30</w:t>
            </w:r>
          </w:p>
        </w:tc>
        <w:tc>
          <w:tcPr>
            <w:tcW w:w="1371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28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企业领导及各部门</w:t>
            </w:r>
          </w:p>
        </w:tc>
        <w:tc>
          <w:tcPr>
            <w:tcW w:w="3925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5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钉钉会议+现场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12-30</w:t>
            </w:r>
          </w:p>
        </w:tc>
        <w:tc>
          <w:tcPr>
            <w:tcW w:w="1371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28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25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50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4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7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spacing w:line="300" w:lineRule="exact"/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21F0C"/>
    <w:rsid w:val="1CAD73F0"/>
    <w:rsid w:val="1E9B419D"/>
    <w:rsid w:val="33727673"/>
    <w:rsid w:val="36C8540F"/>
    <w:rsid w:val="3CB33F07"/>
    <w:rsid w:val="4B11487B"/>
    <w:rsid w:val="4F7B05C3"/>
    <w:rsid w:val="55D97612"/>
    <w:rsid w:val="5E5C061A"/>
    <w:rsid w:val="63FC7B34"/>
    <w:rsid w:val="790A3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94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2022-12-30T13:37:54Z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