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93"/>
        <w:gridCol w:w="567"/>
        <w:gridCol w:w="1046"/>
        <w:gridCol w:w="1557"/>
        <w:gridCol w:w="10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Φ11mm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018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position w:val="-12"/>
                <w:szCs w:val="21"/>
                <w:lang w:val="en-US" w:eastAsia="zh-CN"/>
              </w:rPr>
              <w:t>mm</w:t>
            </w: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最大允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许误</w:t>
            </w:r>
            <w:r>
              <w:rPr>
                <w:rFonts w:hint="eastAsia" w:ascii="宋体" w:hAnsi="宋体" w:eastAsia="宋体" w:cs="宋体"/>
              </w:rPr>
              <w:t>差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Dragon654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三坐标测量仪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0.0035mm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FXZG-MM-1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FXZG-MM-1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温度（20±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℃），相对湿度≯60%RH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胡少波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测量方法、环境条件、操作人员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经培训上岗，</w:t>
            </w:r>
            <w:r>
              <w:rPr>
                <w:rFonts w:ascii="Times New Roman" w:hAnsi="Times New Roman"/>
                <w:szCs w:val="21"/>
              </w:rPr>
              <w:t>技能受控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81915</wp:posOffset>
            </wp:positionV>
            <wp:extent cx="356870" cy="274320"/>
            <wp:effectExtent l="0" t="0" r="11430" b="5080"/>
            <wp:wrapNone/>
            <wp:docPr id="1" name="图片 1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110490</wp:posOffset>
            </wp:positionV>
            <wp:extent cx="859790" cy="220345"/>
            <wp:effectExtent l="0" t="0" r="3810" b="8255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</w:rPr>
        <w:t xml:space="preserve">         审核员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602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2023-01-04T11:23:39Z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3564C26CABAA4A0E9ED769FE86B8BD44</vt:lpwstr>
  </property>
</Properties>
</file>