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宝鸡天健工贸有限公司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王小龙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提供的法律法规清单中中华人民共和国消防法为失效版本。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2858135</wp:posOffset>
                  </wp:positionH>
                  <wp:positionV relativeFrom="paragraph">
                    <wp:posOffset>121285</wp:posOffset>
                  </wp:positionV>
                  <wp:extent cx="591185" cy="490855"/>
                  <wp:effectExtent l="0" t="0" r="0" b="0"/>
                  <wp:wrapNone/>
                  <wp:docPr id="1" name="图片 1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49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强兴</w:t>
            </w:r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2022.12.24 </w:t>
            </w:r>
            <w:bookmarkStart w:id="20" w:name="_GoBack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提供的法律法规清单中中华人民共和国消防法为失效版本。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0020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收集最新版的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中华人民共和国消防法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相关人员对GB/T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条款及管理体系文件相关要求理解不到位。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left="360" w:leftChars="0" w:hanging="360" w:firstLineChars="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管理部门对体系运行要求的培训不到位，管理部门对体系运行管理的检查不到位，未能发现存在的问题。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1、对相关人员进行GB/T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条款及管理手册相关内容的学习培训；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2、自纠自查体系运行存在的不足。进行改进。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22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12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对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法律法规进行</w:t>
            </w:r>
            <w:r>
              <w:rPr>
                <w:rFonts w:hint="eastAsia" w:ascii="宋体" w:hAnsi="宋体"/>
                <w:b/>
                <w:szCs w:val="21"/>
              </w:rPr>
              <w:t>自纠自查存在的类似不符合，发现后立即整改。对发现类似不符合情况进行纠正和。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原因分析基本准确，纠正措施已制定。培训已实施。纠正措施验证通过。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  <w:szCs w:val="21"/>
              </w:rPr>
              <w:t xml:space="preserve"> 日期：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10B0893"/>
    <w:rsid w:val="1064458A"/>
    <w:rsid w:val="1E5141B8"/>
    <w:rsid w:val="5DAF4A56"/>
    <w:rsid w:val="6C356E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2022-12-24T07:22:42Z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2052-11.1.0.12980</vt:lpwstr>
  </property>
</Properties>
</file>