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西安同洪机械制造有限公司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0168-2018-2022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0168-2018-2022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西安同洪机械制造有限公司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张琳琳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ISC-2018-0345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2023-12-06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2022年12月19日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ascii="宋体" w:hAnsi="宋体"/>
                <w:szCs w:val="21"/>
              </w:rPr>
              <w:t>李俐</w:t>
            </w:r>
            <w:r>
              <w:rPr>
                <w:rFonts w:hint="eastAsia" w:ascii="宋体" w:hAnsi="宋体"/>
                <w:szCs w:val="21"/>
                <w:lang w:val="en-US" w:eastAsia="zh-CN"/>
              </w:rPr>
              <w:t xml:space="preserve">  </w:t>
            </w:r>
            <w:r>
              <w:rPr>
                <w:rFonts w:hint="eastAsia" w:ascii="宋体" w:hAnsi="宋体" w:eastAsia="宋体" w:cs="Times New Roman"/>
                <w:color w:val="000000"/>
                <w:szCs w:val="21"/>
              </w:rPr>
              <w:t>2021-M1MMS-2222792</w:t>
            </w:r>
          </w:p>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ascii="宋体" w:hAnsi="宋体"/>
                <w:szCs w:val="21"/>
              </w:rPr>
              <w:t>孙保健</w:t>
            </w:r>
            <w:r>
              <w:rPr>
                <w:rFonts w:hint="eastAsia" w:ascii="宋体" w:hAnsi="宋体"/>
                <w:szCs w:val="21"/>
                <w:lang w:val="en-US" w:eastAsia="zh-CN"/>
              </w:rPr>
              <w:t xml:space="preserve">  </w:t>
            </w:r>
            <w:r>
              <w:rPr>
                <w:rFonts w:hint="eastAsia" w:ascii="宋体" w:hAnsi="宋体" w:eastAsia="宋体" w:cs="Times New Roman"/>
                <w:color w:val="000000"/>
                <w:szCs w:val="21"/>
              </w:rPr>
              <w:t>2020-M1MMS-1274302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cs="宋体" w:asciiTheme="minorEastAsia" w:hAnsiTheme="minorEastAsia"/>
                <w:kern w:val="0"/>
                <w:szCs w:val="21"/>
              </w:rPr>
            </w:pPr>
            <w:r>
              <w:rPr>
                <w:rStyle w:val="9"/>
                <w:rFonts w:hint="eastAsia" w:ascii="宋体" w:hAnsi="宋体" w:eastAsia="宋体"/>
                <w:sz w:val="21"/>
                <w:szCs w:val="21"/>
                <w:lang w:val="zh-CN"/>
              </w:rPr>
              <w:t>质量管理部、综合办公室、</w:t>
            </w:r>
            <w:r>
              <w:rPr>
                <w:rFonts w:hint="eastAsia" w:ascii="宋体" w:hAnsi="宋体" w:eastAsia="宋体" w:cs="宋体"/>
                <w:szCs w:val="21"/>
                <w:lang w:val="zh-CN"/>
              </w:rPr>
              <w:t>生产技术部、</w:t>
            </w:r>
            <w:r>
              <w:rPr>
                <w:rFonts w:hint="eastAsia" w:ascii="宋体" w:hAnsi="宋体" w:eastAsia="宋体" w:cs="宋体"/>
                <w:szCs w:val="21"/>
                <w:lang w:val="en-US" w:eastAsia="zh-CN"/>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spacing w:line="360" w:lineRule="auto"/>
        <w:ind w:firstLine="420" w:firstLineChars="200"/>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20</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所有</w:t>
      </w:r>
      <w:r>
        <w:rPr>
          <w:rFonts w:hint="eastAsia" w:ascii="宋体" w:hAnsi="宋体"/>
          <w:bCs/>
          <w:color w:val="000000" w:themeColor="text1"/>
          <w:szCs w:val="21"/>
        </w:rPr>
        <w:t>部</w:t>
      </w:r>
      <w:r>
        <w:rPr>
          <w:rFonts w:hint="eastAsia" w:ascii="宋体" w:hAnsi="宋体"/>
          <w:bCs/>
          <w:color w:val="000000" w:themeColor="text1"/>
          <w:szCs w:val="21"/>
          <w:lang w:val="en-US" w:eastAsia="zh-CN"/>
        </w:rPr>
        <w:t>门和车间</w:t>
      </w:r>
      <w:r>
        <w:rPr>
          <w:rFonts w:hint="eastAsia" w:ascii="宋体" w:hAnsi="宋体"/>
          <w:bCs/>
          <w:color w:val="000000" w:themeColor="text1"/>
          <w:szCs w:val="21"/>
        </w:rPr>
        <w:t>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26</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rStyle w:val="9"/>
          <w:rFonts w:ascii="宋体" w:eastAsia="宋体"/>
          <w:color w:val="auto"/>
          <w:sz w:val="2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2022</w:t>
      </w:r>
      <w:r>
        <w:rPr>
          <w:rFonts w:hint="eastAsia"/>
          <w:color w:val="000000" w:themeColor="text1"/>
          <w:szCs w:val="21"/>
        </w:rPr>
        <w:t>年</w:t>
      </w:r>
      <w:r>
        <w:rPr>
          <w:rFonts w:hint="eastAsia"/>
          <w:color w:val="000000" w:themeColor="text1"/>
          <w:szCs w:val="21"/>
          <w:lang w:val="en-US" w:eastAsia="zh-CN"/>
        </w:rPr>
        <w:t>11</w:t>
      </w:r>
      <w:r>
        <w:rPr>
          <w:rFonts w:hint="eastAsia"/>
          <w:color w:val="000000" w:themeColor="text1"/>
          <w:szCs w:val="21"/>
        </w:rPr>
        <w:t>月</w:t>
      </w:r>
      <w:r>
        <w:rPr>
          <w:rFonts w:hint="eastAsia"/>
          <w:color w:val="000000" w:themeColor="text1"/>
          <w:szCs w:val="21"/>
          <w:lang w:val="en-US" w:eastAsia="zh-CN"/>
        </w:rPr>
        <w:t>15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公司总经理主持，由</w:t>
      </w:r>
      <w:r>
        <w:rPr>
          <w:color w:val="000000"/>
          <w:szCs w:val="21"/>
        </w:rPr>
        <w:t>管理者代表汇报了体系运行情况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w:t>
      </w:r>
      <w:r>
        <w:rPr>
          <w:color w:val="auto"/>
          <w:szCs w:val="21"/>
        </w:rPr>
        <w:t>性和适宜性</w:t>
      </w:r>
      <w:r>
        <w:rPr>
          <w:rFonts w:hint="eastAsia"/>
          <w:color w:val="auto"/>
          <w:szCs w:val="21"/>
        </w:rPr>
        <w:t>。</w:t>
      </w:r>
      <w:r>
        <w:rPr>
          <w:rFonts w:hint="eastAsia"/>
          <w:color w:val="auto"/>
          <w:szCs w:val="21"/>
          <w:lang w:val="en-US" w:eastAsia="zh-CN"/>
        </w:rPr>
        <w:t>并</w:t>
      </w:r>
      <w:r>
        <w:rPr>
          <w:rFonts w:hint="eastAsia"/>
          <w:color w:val="auto"/>
          <w:szCs w:val="21"/>
        </w:rPr>
        <w:t>对公司测量管理体系目前存在的</w:t>
      </w:r>
      <w:r>
        <w:rPr>
          <w:rFonts w:hint="eastAsia"/>
          <w:color w:val="auto"/>
          <w:szCs w:val="21"/>
          <w:lang w:val="en-US" w:eastAsia="zh-CN"/>
        </w:rPr>
        <w:t>1</w:t>
      </w:r>
      <w:r>
        <w:rPr>
          <w:rFonts w:hint="eastAsia"/>
          <w:color w:val="auto"/>
          <w:szCs w:val="21"/>
        </w:rPr>
        <w:t>个方面的问题落实了整改部门。</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增关键测量过程：</w:t>
      </w:r>
    </w:p>
    <w:p>
      <w:pPr>
        <w:widowControl/>
        <w:spacing w:line="360" w:lineRule="auto"/>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olor w:val="auto"/>
          <w:lang w:val="en-US" w:eastAsia="zh-CN"/>
        </w:rPr>
        <w:t>冷轧钢板厚度测量</w:t>
      </w:r>
      <w:r>
        <w:rPr>
          <w:rFonts w:hint="eastAsia"/>
          <w:color w:val="auto"/>
        </w:rPr>
        <w:t>过程，计量要求导出方法正确，验证满足测量过程要求。祥见附件《计量要求导出及验证记录表》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olor w:val="auto"/>
          <w:lang w:val="en-US" w:eastAsia="zh-CN"/>
        </w:rPr>
        <w:t>冷轧钢板厚度测量</w:t>
      </w:r>
      <w:r>
        <w:rPr>
          <w:rFonts w:hint="eastAsia"/>
          <w:color w:val="auto"/>
        </w:rPr>
        <w:t>过程，测量不确定度评定方法正确。祥见附件《测量不确定度评定》</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olor w:val="auto"/>
          <w:lang w:val="en-US" w:eastAsia="zh-CN"/>
        </w:rPr>
        <w:t>冷轧钢板厚度测量</w:t>
      </w:r>
      <w:r>
        <w:rPr>
          <w:rFonts w:hint="eastAsia"/>
          <w:color w:val="auto"/>
        </w:rPr>
        <w:t>过程，采用计量比对</w:t>
      </w:r>
      <w:r>
        <w:rPr>
          <w:rFonts w:hint="eastAsia"/>
          <w:color w:val="auto"/>
          <w:lang w:val="en-US" w:eastAsia="zh-CN"/>
        </w:rPr>
        <w:t>法</w:t>
      </w:r>
      <w:r>
        <w:rPr>
          <w:rFonts w:hint="eastAsia"/>
          <w:color w:val="auto"/>
        </w:rPr>
        <w:t>进行有效性确认，满足要求。祥见附件《测量过程有效性确认》</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lang w:val="en-US" w:eastAsia="zh-CN"/>
        </w:rPr>
        <w:t>冷轧钢板厚度测量</w:t>
      </w:r>
      <w:r>
        <w:rPr>
          <w:rFonts w:hint="eastAsia"/>
          <w:color w:val="auto"/>
        </w:rPr>
        <w:t>过程，编制了控制规范，对测量人员、测量设备、测量环境进行控制，满足要求。</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olor w:val="auto"/>
          <w:lang w:val="en-US" w:eastAsia="zh-CN"/>
        </w:rPr>
        <w:t>冷轧钢板厚度测量</w:t>
      </w:r>
      <w:r>
        <w:rPr>
          <w:rFonts w:hint="eastAsia"/>
          <w:color w:val="auto"/>
        </w:rPr>
        <w:t>过程，</w:t>
      </w:r>
      <w:r>
        <w:rPr>
          <w:rFonts w:hint="eastAsia" w:cs="宋体" w:asciiTheme="minorEastAsia" w:hAnsiTheme="minorEastAsia"/>
          <w:color w:val="auto"/>
          <w:kern w:val="0"/>
          <w:szCs w:val="21"/>
        </w:rPr>
        <w:t>采用统计技术进行控制和监视测量过程。祥见《测量过程监视记录》</w:t>
      </w:r>
    </w:p>
    <w:p>
      <w:pPr>
        <w:widowControl/>
        <w:spacing w:line="360" w:lineRule="auto"/>
        <w:rPr>
          <w:color w:val="auto"/>
          <w:szCs w:val="21"/>
        </w:rPr>
      </w:pPr>
      <w:r>
        <w:rPr>
          <w:rFonts w:hint="eastAsia" w:cs="宋体" w:asciiTheme="minorEastAsia" w:hAnsiTheme="minorEastAsia"/>
          <w:color w:val="auto"/>
          <w:kern w:val="0"/>
          <w:szCs w:val="21"/>
        </w:rPr>
        <w:t>f)测量设备的溯源：</w:t>
      </w:r>
      <w:r>
        <w:rPr>
          <w:rFonts w:hint="eastAsia" w:ascii="Times New Roman" w:hAnsi="Times New Roman" w:eastAsia="宋体" w:cs="Times New Roman"/>
          <w:color w:val="auto"/>
          <w:szCs w:val="21"/>
        </w:rPr>
        <w:t>企业未建立最高标准器，所有测量设备均送至深圳市中测计量检测技术有限公司校准，抽查</w:t>
      </w:r>
      <w:r>
        <w:rPr>
          <w:rFonts w:hint="eastAsia" w:ascii="Times New Roman" w:hAnsi="Times New Roman" w:eastAsia="宋体" w:cs="Times New Roman"/>
          <w:color w:val="auto"/>
          <w:szCs w:val="21"/>
          <w:lang w:val="en-US" w:eastAsia="zh-CN"/>
        </w:rPr>
        <w:t>8</w:t>
      </w:r>
      <w:r>
        <w:rPr>
          <w:rFonts w:hint="eastAsia" w:ascii="Times New Roman" w:hAnsi="Times New Roman" w:eastAsia="宋体" w:cs="Times New Roman"/>
          <w:color w:val="auto"/>
          <w:szCs w:val="21"/>
        </w:rPr>
        <w:t>份测量设备，量值溯源满足要求。</w:t>
      </w:r>
      <w:r>
        <w:rPr>
          <w:rFonts w:hint="eastAsia"/>
          <w:color w:val="auto"/>
          <w:szCs w:val="21"/>
        </w:rPr>
        <w:t>祥见《测量设备溯源检查表》</w:t>
      </w:r>
    </w:p>
    <w:p>
      <w:pPr>
        <w:widowControl/>
        <w:spacing w:line="360" w:lineRule="auto"/>
        <w:rPr>
          <w:color w:val="auto"/>
          <w:szCs w:val="21"/>
        </w:rPr>
      </w:pPr>
      <w:r>
        <w:rPr>
          <w:rFonts w:hint="eastAsia"/>
          <w:color w:val="auto"/>
          <w:szCs w:val="21"/>
        </w:rPr>
        <w:t>4.能源管理情况：</w:t>
      </w:r>
    </w:p>
    <w:p>
      <w:pPr>
        <w:widowControl/>
        <w:spacing w:line="360" w:lineRule="auto"/>
        <w:ind w:firstLine="420" w:firstLineChars="200"/>
        <w:rPr>
          <w:rFonts w:hint="eastAsia" w:ascii="宋体" w:hAnsi="宋体" w:eastAsia="宋体"/>
          <w:bCs/>
          <w:color w:val="auto"/>
          <w:szCs w:val="21"/>
        </w:rPr>
      </w:pPr>
      <w:r>
        <w:rPr>
          <w:rFonts w:hint="eastAsia" w:ascii="宋体" w:hAnsi="宋体" w:eastAsia="宋体"/>
          <w:bCs/>
          <w:color w:val="000000" w:themeColor="text1"/>
          <w:szCs w:val="21"/>
        </w:rPr>
        <w:t>企业</w:t>
      </w:r>
      <w:r>
        <w:rPr>
          <w:rFonts w:hint="eastAsia" w:ascii="宋体" w:hAnsi="宋体" w:eastAsia="宋体"/>
          <w:bCs/>
          <w:color w:val="000000" w:themeColor="text1"/>
          <w:szCs w:val="21"/>
          <w:lang w:val="en-US" w:eastAsia="zh-CN"/>
        </w:rPr>
        <w:t>2022年</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125</w:t>
      </w:r>
      <w:r>
        <w:rPr>
          <w:rFonts w:hint="eastAsia" w:ascii="宋体" w:hAnsi="宋体" w:eastAsia="宋体"/>
          <w:bCs/>
          <w:color w:val="000000" w:themeColor="text1"/>
          <w:szCs w:val="21"/>
        </w:rPr>
        <w:t>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w:t>
      </w:r>
      <w:r>
        <w:rPr>
          <w:rFonts w:hint="eastAsia" w:ascii="宋体" w:hAnsi="宋体" w:eastAsia="宋体"/>
          <w:bCs/>
          <w:color w:val="auto"/>
          <w:szCs w:val="21"/>
        </w:rPr>
        <w:t>查测量设备配备率满足要求，能源计量管理满足GB17167要求。</w:t>
      </w:r>
    </w:p>
    <w:p>
      <w:pPr>
        <w:widowControl/>
        <w:spacing w:line="360"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420" w:firstLineChars="200"/>
        <w:rPr>
          <w:rFonts w:cs="宋体" w:asciiTheme="minorEastAsia" w:hAnsiTheme="minorEastAsia"/>
          <w:color w:val="auto"/>
          <w:kern w:val="0"/>
          <w:szCs w:val="21"/>
        </w:rPr>
      </w:pPr>
      <w:bookmarkStart w:id="11" w:name="_GoBack"/>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未</w:t>
      </w:r>
      <w:r>
        <w:rPr>
          <w:rFonts w:hint="eastAsia" w:ascii="宋体" w:hAnsi="宋体" w:cs="宋体"/>
          <w:bCs/>
          <w:color w:val="auto"/>
          <w:kern w:val="0"/>
          <w:szCs w:val="21"/>
        </w:rPr>
        <w:t>开不符合项</w:t>
      </w:r>
      <w:r>
        <w:rPr>
          <w:rFonts w:hint="eastAsia" w:ascii="宋体" w:hAnsi="宋体" w:cs="宋体"/>
          <w:bCs/>
          <w:color w:val="auto"/>
          <w:kern w:val="0"/>
          <w:szCs w:val="21"/>
          <w:lang w:eastAsia="zh-CN"/>
        </w:rPr>
        <w:t>，</w:t>
      </w:r>
      <w:r>
        <w:rPr>
          <w:rFonts w:hint="eastAsia" w:ascii="宋体" w:hAnsi="宋体"/>
          <w:bCs/>
          <w:color w:val="auto"/>
          <w:szCs w:val="21"/>
          <w:lang w:val="en-US" w:eastAsia="zh-CN"/>
        </w:rPr>
        <w:t xml:space="preserve"> 2022年内审</w:t>
      </w:r>
      <w:r>
        <w:rPr>
          <w:rFonts w:ascii="宋体" w:hAnsi="宋体"/>
          <w:bCs/>
          <w:color w:val="auto"/>
          <w:szCs w:val="21"/>
        </w:rPr>
        <w:t>开出</w:t>
      </w:r>
      <w:r>
        <w:rPr>
          <w:rFonts w:hint="eastAsia" w:ascii="宋体" w:hAnsi="宋体"/>
          <w:bCs/>
          <w:color w:val="auto"/>
          <w:szCs w:val="21"/>
        </w:rPr>
        <w:t>不</w:t>
      </w:r>
      <w:r>
        <w:rPr>
          <w:rFonts w:ascii="宋体" w:hAnsi="宋体"/>
          <w:bCs/>
          <w:color w:val="auto"/>
          <w:szCs w:val="21"/>
        </w:rPr>
        <w:t>符合</w:t>
      </w:r>
      <w:r>
        <w:rPr>
          <w:rFonts w:hint="eastAsia" w:ascii="宋体" w:hAnsi="宋体"/>
          <w:bCs/>
          <w:color w:val="auto"/>
          <w:szCs w:val="21"/>
          <w:lang w:val="en-US" w:eastAsia="zh-CN"/>
        </w:rPr>
        <w:t>1</w:t>
      </w:r>
      <w:r>
        <w:rPr>
          <w:rFonts w:ascii="宋体" w:hAnsi="宋体"/>
          <w:bCs/>
          <w:color w:val="auto"/>
          <w:szCs w:val="21"/>
        </w:rPr>
        <w:t>项</w:t>
      </w:r>
      <w:r>
        <w:rPr>
          <w:rFonts w:hint="eastAsia" w:ascii="宋体" w:hAnsi="宋体"/>
          <w:bCs/>
          <w:color w:val="auto"/>
          <w:szCs w:val="21"/>
          <w:lang w:val="en-US" w:eastAsia="zh-CN"/>
        </w:rPr>
        <w:t>，</w:t>
      </w:r>
      <w:r>
        <w:rPr>
          <w:rFonts w:hint="eastAsia" w:ascii="宋体" w:hAnsi="宋体"/>
          <w:bCs/>
          <w:color w:val="auto"/>
          <w:szCs w:val="21"/>
        </w:rPr>
        <w:t>于</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26</w:t>
      </w:r>
      <w:r>
        <w:rPr>
          <w:rFonts w:hint="eastAsia" w:ascii="宋体" w:hAnsi="宋体"/>
          <w:bCs/>
          <w:color w:val="auto"/>
          <w:szCs w:val="21"/>
        </w:rPr>
        <w:t>日</w:t>
      </w:r>
      <w:r>
        <w:rPr>
          <w:rFonts w:hint="eastAsia" w:ascii="宋体" w:hAnsi="宋体"/>
          <w:bCs/>
          <w:color w:val="auto"/>
          <w:szCs w:val="21"/>
          <w:lang w:val="en-US" w:eastAsia="zh-CN"/>
        </w:rPr>
        <w:t>完成整改，经</w:t>
      </w:r>
      <w:r>
        <w:rPr>
          <w:rFonts w:hint="eastAsia" w:ascii="宋体" w:hAnsi="宋体" w:cs="宋体"/>
          <w:bCs/>
          <w:color w:val="auto"/>
          <w:kern w:val="0"/>
          <w:szCs w:val="21"/>
        </w:rPr>
        <w:t>验证该不符合项纠正措施有效，同意关闭。</w:t>
      </w:r>
    </w:p>
    <w:bookmarkEnd w:id="11"/>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年有未有顾客的投诉。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360" w:lineRule="auto"/>
        <w:ind w:firstLine="420" w:firstLineChars="200"/>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22</w:t>
      </w:r>
      <w:r>
        <w:rPr>
          <w:rFonts w:hint="eastAsia" w:ascii="宋体" w:hAnsi="宋体" w:eastAsia="宋体"/>
          <w:bCs/>
          <w:color w:val="auto"/>
          <w:szCs w:val="21"/>
        </w:rPr>
        <w:t>年1月到11月质量目标完成情况检查表，按目标、措施、完成情况、未完成情况进行统计，记录内容全，每月统计，质量目标管理满足要求。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360"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360"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numPr>
          <w:ilvl w:val="0"/>
          <w:numId w:val="2"/>
        </w:numPr>
        <w:spacing w:line="360" w:lineRule="auto"/>
        <w:jc w:val="left"/>
        <w:rPr>
          <w:rFonts w:hint="eastAsia" w:asciiTheme="minorEastAsia" w:hAnsiTheme="minorEastAsia"/>
          <w:bCs/>
          <w:color w:val="auto"/>
          <w:szCs w:val="21"/>
          <w:lang w:eastAsia="zh-CN"/>
        </w:rPr>
      </w:pPr>
      <w:r>
        <w:rPr>
          <w:rFonts w:hint="eastAsia" w:asciiTheme="minorEastAsia" w:hAnsiTheme="minorEastAsia"/>
          <w:bCs/>
          <w:color w:val="auto"/>
          <w:szCs w:val="21"/>
        </w:rPr>
        <w:t>本次监督审核</w:t>
      </w:r>
      <w:r>
        <w:rPr>
          <w:rFonts w:hint="eastAsia" w:asciiTheme="minorEastAsia" w:hAnsiTheme="minorEastAsia"/>
          <w:bCs/>
          <w:color w:val="auto"/>
          <w:szCs w:val="21"/>
          <w:lang w:val="en-US" w:eastAsia="zh-CN"/>
        </w:rPr>
        <w:t>未</w:t>
      </w:r>
      <w:r>
        <w:rPr>
          <w:rFonts w:hint="eastAsia" w:asciiTheme="minorEastAsia" w:hAnsiTheme="minorEastAsia"/>
          <w:bCs/>
          <w:color w:val="auto"/>
          <w:szCs w:val="21"/>
        </w:rPr>
        <w:t>发现不符合</w:t>
      </w:r>
      <w:r>
        <w:rPr>
          <w:rFonts w:hint="eastAsia" w:asciiTheme="minorEastAsia" w:hAnsiTheme="minorEastAsia"/>
          <w:bCs/>
          <w:color w:val="auto"/>
          <w:szCs w:val="21"/>
          <w:lang w:val="en-US" w:eastAsia="zh-CN"/>
        </w:rPr>
        <w:t>项</w:t>
      </w:r>
      <w:r>
        <w:rPr>
          <w:rFonts w:hint="eastAsia" w:asciiTheme="minorEastAsia" w:hAnsiTheme="minorEastAsia"/>
          <w:bCs/>
          <w:color w:val="auto"/>
          <w:szCs w:val="21"/>
        </w:rPr>
        <w:t>，未发现严重的或系统性的不符合情况</w:t>
      </w:r>
      <w:r>
        <w:rPr>
          <w:rFonts w:hint="eastAsia" w:asciiTheme="minorEastAsia" w:hAnsiTheme="minorEastAsia"/>
          <w:bCs/>
          <w:color w:val="auto"/>
          <w:szCs w:val="21"/>
          <w:lang w:eastAsia="zh-CN"/>
        </w:rPr>
        <w:t>。</w:t>
      </w:r>
    </w:p>
    <w:p>
      <w:pPr>
        <w:widowControl/>
        <w:numPr>
          <w:ilvl w:val="0"/>
          <w:numId w:val="0"/>
        </w:numPr>
        <w:spacing w:line="360" w:lineRule="auto"/>
        <w:ind w:leftChars="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11.</w:t>
      </w:r>
      <w:r>
        <w:rPr>
          <w:rFonts w:hint="eastAsia" w:ascii="宋体" w:hAnsi="宋体" w:eastAsia="宋体" w:cs="宋体"/>
          <w:color w:val="000000" w:themeColor="text1"/>
          <w:kern w:val="0"/>
          <w:szCs w:val="21"/>
        </w:rPr>
        <w:t>产品的销售</w:t>
      </w:r>
    </w:p>
    <w:p>
      <w:pPr>
        <w:widowControl/>
        <w:numPr>
          <w:ilvl w:val="0"/>
          <w:numId w:val="0"/>
        </w:numPr>
        <w:spacing w:line="360" w:lineRule="auto"/>
        <w:ind w:leftChars="0" w:firstLine="420" w:firstLineChars="200"/>
        <w:rPr>
          <w:rFonts w:hint="eastAsia" w:cs="宋体" w:asciiTheme="minorEastAsia" w:hAnsiTheme="minorEastAsia"/>
          <w:bCs/>
          <w:color w:val="auto"/>
          <w:kern w:val="0"/>
          <w:szCs w:val="21"/>
        </w:rPr>
      </w:pPr>
      <w:r>
        <w:rPr>
          <w:rFonts w:hint="eastAsia" w:ascii="宋体" w:hAnsi="宋体" w:eastAsia="宋体" w:cs="宋体"/>
          <w:color w:val="000000" w:themeColor="text1"/>
          <w:kern w:val="0"/>
          <w:szCs w:val="21"/>
        </w:rPr>
        <w:t>抽查</w:t>
      </w:r>
      <w:r>
        <w:rPr>
          <w:rFonts w:hint="eastAsia" w:ascii="宋体" w:hAnsi="宋体"/>
          <w:szCs w:val="21"/>
        </w:rPr>
        <w:t>机械零、部件的加工、装配</w:t>
      </w:r>
      <w:r>
        <w:rPr>
          <w:rFonts w:hint="eastAsia" w:ascii="宋体" w:hAnsi="宋体" w:eastAsia="宋体" w:cs="宋体"/>
          <w:color w:val="000000" w:themeColor="text1"/>
          <w:kern w:val="0"/>
          <w:szCs w:val="21"/>
        </w:rPr>
        <w:t>的销售合同，合同编号</w:t>
      </w:r>
      <w:r>
        <w:rPr>
          <w:rFonts w:hint="eastAsia" w:ascii="宋体" w:hAnsi="宋体" w:eastAsia="宋体" w:cs="宋体"/>
          <w:color w:val="000000" w:themeColor="text1"/>
          <w:kern w:val="0"/>
          <w:szCs w:val="21"/>
          <w:lang w:val="en-US" w:eastAsia="zh-CN"/>
        </w:rPr>
        <w:t>THSC20220208</w:t>
      </w:r>
      <w:r>
        <w:rPr>
          <w:rFonts w:hint="eastAsia" w:ascii="宋体" w:hAnsi="宋体" w:eastAsia="宋体" w:cs="宋体"/>
          <w:color w:val="000000" w:themeColor="text1"/>
          <w:kern w:val="0"/>
          <w:szCs w:val="21"/>
        </w:rPr>
        <w:t>，签订时间</w:t>
      </w:r>
      <w:r>
        <w:rPr>
          <w:rFonts w:hint="eastAsia" w:ascii="宋体" w:hAnsi="宋体" w:eastAsia="宋体" w:cs="宋体"/>
          <w:color w:val="000000" w:themeColor="text1"/>
          <w:kern w:val="0"/>
          <w:szCs w:val="21"/>
          <w:lang w:val="en-US" w:eastAsia="zh-CN"/>
        </w:rPr>
        <w:t>2022</w:t>
      </w:r>
      <w:r>
        <w:rPr>
          <w:rFonts w:hint="eastAsia" w:ascii="宋体" w:hAnsi="宋体" w:eastAsia="宋体" w:cs="宋体"/>
          <w:color w:val="000000" w:themeColor="text1"/>
          <w:kern w:val="0"/>
          <w:szCs w:val="21"/>
        </w:rPr>
        <w:t>年</w:t>
      </w:r>
      <w:r>
        <w:rPr>
          <w:rFonts w:hint="eastAsia" w:ascii="宋体" w:hAnsi="宋体" w:eastAsia="宋体" w:cs="宋体"/>
          <w:color w:val="000000" w:themeColor="text1"/>
          <w:kern w:val="0"/>
          <w:szCs w:val="21"/>
          <w:lang w:val="en-US" w:eastAsia="zh-CN"/>
        </w:rPr>
        <w:t>2</w:t>
      </w:r>
      <w:r>
        <w:rPr>
          <w:rFonts w:hint="eastAsia" w:ascii="宋体" w:hAnsi="宋体" w:eastAsia="宋体" w:cs="宋体"/>
          <w:color w:val="000000" w:themeColor="text1"/>
          <w:kern w:val="0"/>
          <w:szCs w:val="21"/>
        </w:rPr>
        <w:t>月</w:t>
      </w:r>
      <w:r>
        <w:rPr>
          <w:rFonts w:hint="eastAsia" w:ascii="宋体" w:hAnsi="宋体" w:eastAsia="宋体" w:cs="宋体"/>
          <w:color w:val="000000" w:themeColor="text1"/>
          <w:kern w:val="0"/>
          <w:szCs w:val="21"/>
          <w:lang w:val="en-US" w:eastAsia="zh-CN"/>
        </w:rPr>
        <w:t>8</w:t>
      </w:r>
      <w:r>
        <w:rPr>
          <w:rFonts w:hint="eastAsia" w:ascii="宋体" w:hAnsi="宋体" w:eastAsia="宋体" w:cs="宋体"/>
          <w:color w:val="000000" w:themeColor="text1"/>
          <w:kern w:val="0"/>
          <w:szCs w:val="21"/>
        </w:rPr>
        <w:t>日</w:t>
      </w:r>
      <w:r>
        <w:rPr>
          <w:rFonts w:hint="eastAsia" w:ascii="宋体" w:hAnsi="宋体" w:eastAsia="宋体" w:cs="宋体"/>
          <w:color w:val="000000" w:themeColor="text1"/>
          <w:kern w:val="0"/>
          <w:szCs w:val="21"/>
          <w:lang w:eastAsia="zh-CN"/>
        </w:rPr>
        <w:t>，</w:t>
      </w:r>
      <w:r>
        <w:rPr>
          <w:rFonts w:hint="eastAsia" w:ascii="宋体" w:hAnsi="宋体" w:eastAsia="宋体" w:cs="宋体"/>
          <w:color w:val="000000" w:themeColor="text1"/>
          <w:kern w:val="0"/>
          <w:szCs w:val="21"/>
        </w:rPr>
        <w:t>确认企业对应的产品生产过程涉及有对应的测量过程和测量设备，测量设备的</w:t>
      </w:r>
      <w:r>
        <w:rPr>
          <w:rFonts w:hint="eastAsia" w:ascii="宋体" w:hAnsi="宋体" w:eastAsia="宋体" w:cs="宋体"/>
          <w:color w:val="auto"/>
          <w:kern w:val="0"/>
          <w:szCs w:val="21"/>
        </w:rPr>
        <w:t>配备可满足该合同产品的生产和检验要求。</w:t>
      </w:r>
    </w:p>
    <w:p>
      <w:pPr>
        <w:snapToGrid w:val="0"/>
        <w:spacing w:line="360" w:lineRule="auto"/>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360" w:lineRule="auto"/>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12</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19</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cs="宋体" w:asciiTheme="minorEastAsia" w:hAnsiTheme="minorEastAsia"/>
          <w:color w:val="auto"/>
          <w:kern w:val="0"/>
          <w:szCs w:val="21"/>
        </w:rPr>
        <w:t>西安同洪机械制造有限公司</w:t>
      </w:r>
      <w:r>
        <w:rPr>
          <w:rFonts w:hint="eastAsia" w:cs="宋体" w:asciiTheme="minorEastAsia" w:hAnsiTheme="minorEastAsia"/>
          <w:bCs/>
          <w:color w:val="auto"/>
          <w:kern w:val="0"/>
          <w:szCs w:val="21"/>
          <w:lang w:val="en-US" w:eastAsia="zh-CN"/>
        </w:rPr>
        <w:t>远程</w:t>
      </w:r>
      <w:r>
        <w:rPr>
          <w:rFonts w:hint="eastAsia" w:cs="宋体" w:asciiTheme="minorEastAsia" w:hAnsiTheme="minorEastAsia"/>
          <w:bCs/>
          <w:color w:val="auto"/>
          <w:kern w:val="0"/>
          <w:szCs w:val="21"/>
        </w:rPr>
        <w:t>监督</w:t>
      </w:r>
      <w:r>
        <w:rPr>
          <w:rFonts w:cs="宋体" w:asciiTheme="minorEastAsia" w:hAnsiTheme="minorEastAsia"/>
          <w:bCs/>
          <w:color w:val="auto"/>
          <w:kern w:val="0"/>
          <w:szCs w:val="21"/>
        </w:rPr>
        <w:t>审核</w:t>
      </w:r>
      <w:r>
        <w:rPr>
          <w:rFonts w:hint="eastAsia" w:cs="宋体" w:asciiTheme="minorEastAsia" w:hAnsiTheme="minorEastAsia"/>
          <w:bCs/>
          <w:color w:val="auto"/>
          <w:kern w:val="0"/>
          <w:szCs w:val="21"/>
        </w:rPr>
        <w:t>.</w:t>
      </w:r>
      <w:r>
        <w:rPr>
          <w:rFonts w:hint="eastAsia" w:ascii="宋体" w:hAnsi="宋体"/>
          <w:color w:val="auto"/>
          <w:szCs w:val="21"/>
          <w:lang w:val="en-US" w:eastAsia="zh-CN"/>
        </w:rPr>
        <w:t>采用腾讯会议及微信、手机视频， 通过审核电子文档、照片或截屏、视频等形式获取信息，</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西安同洪机械制造有限公司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1444625</wp:posOffset>
            </wp:positionH>
            <wp:positionV relativeFrom="paragraph">
              <wp:posOffset>269240</wp:posOffset>
            </wp:positionV>
            <wp:extent cx="385445" cy="296545"/>
            <wp:effectExtent l="0" t="0" r="8255" b="825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85445" cy="296545"/>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2022.12.19</w:t>
      </w:r>
    </w:p>
    <w:p>
      <w:pPr>
        <w:widowControl/>
        <w:spacing w:line="360" w:lineRule="auto"/>
        <w:jc w:val="left"/>
        <w:rPr>
          <w:rFonts w:ascii="宋体" w:hAnsi="宋体" w:eastAsia="宋体" w:cs="宋体"/>
          <w:kern w:val="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1221740</wp:posOffset>
            </wp:positionH>
            <wp:positionV relativeFrom="paragraph">
              <wp:posOffset>282575</wp:posOffset>
            </wp:positionV>
            <wp:extent cx="843915" cy="303530"/>
            <wp:effectExtent l="0" t="0" r="6985" b="1270"/>
            <wp:wrapNone/>
            <wp:docPr id="48" name="图片 48" descr="孙保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孙保健"/>
                    <pic:cNvPicPr>
                      <a:picLocks noChangeAspect="1"/>
                    </pic:cNvPicPr>
                  </pic:nvPicPr>
                  <pic:blipFill>
                    <a:blip r:embed="rId7"/>
                    <a:stretch>
                      <a:fillRect/>
                    </a:stretch>
                  </pic:blipFill>
                  <pic:spPr>
                    <a:xfrm>
                      <a:off x="0" y="0"/>
                      <a:ext cx="843915" cy="303530"/>
                    </a:xfrm>
                    <a:prstGeom prst="rect">
                      <a:avLst/>
                    </a:prstGeom>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2022.12.19</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65C18"/>
    <w:multiLevelType w:val="singleLevel"/>
    <w:tmpl w:val="E9065C18"/>
    <w:lvl w:ilvl="0" w:tentative="0">
      <w:start w:val="10"/>
      <w:numFmt w:val="decimal"/>
      <w:suff w:val="space"/>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FAB4F33"/>
    <w:rsid w:val="2B915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2023-01-01T06:49:03Z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716ED6708331487C8032300A71C76B1B</vt:lpwstr>
  </property>
</Properties>
</file>