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1330-2022-QEO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江西鼎帅智能科技有限公司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江西鼎帅智能科技有限公司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江西省宜春市樟树市观上镇上胡村123号（自主承诺）</w:t>
            </w:r>
            <w:bookmarkEnd w:id="6"/>
          </w:p>
        </w:tc>
        <w:tc>
          <w:tcPr>
            <w:tcW w:w="1242" w:type="dxa"/>
            <w:vMerge w:val="restart"/>
            <w:vAlign w:val="center"/>
          </w:tcPr>
          <w:p>
            <w:r>
              <w:rPr>
                <w:rFonts w:hint="eastAsia"/>
              </w:rPr>
              <w:t>邮编</w:t>
            </w:r>
          </w:p>
        </w:tc>
        <w:tc>
          <w:tcPr>
            <w:tcW w:w="1771" w:type="dxa"/>
          </w:tcPr>
          <w:p>
            <w:bookmarkStart w:id="7" w:name="注册邮编"/>
            <w:r>
              <w:t>331200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江西省宜春市樟树市四特大道305号</w:t>
            </w:r>
            <w:bookmarkEnd w:id="8"/>
          </w:p>
        </w:tc>
        <w:tc>
          <w:tcPr>
            <w:tcW w:w="1242" w:type="dxa"/>
            <w:vMerge w:val="continue"/>
            <w:vAlign w:val="center"/>
          </w:tcPr>
          <w:p/>
        </w:tc>
        <w:tc>
          <w:tcPr>
            <w:tcW w:w="1771" w:type="dxa"/>
          </w:tcPr>
          <w:p>
            <w:bookmarkStart w:id="9" w:name="办公邮编"/>
            <w:r>
              <w:t>331200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胡荣英</w:t>
            </w:r>
            <w:bookmarkEnd w:id="10"/>
          </w:p>
        </w:tc>
        <w:tc>
          <w:tcPr>
            <w:tcW w:w="1313" w:type="dxa"/>
            <w:vAlign w:val="center"/>
          </w:tcPr>
          <w:p>
            <w:r>
              <w:rPr>
                <w:rFonts w:hint="eastAsia"/>
              </w:rPr>
              <w:t>电话.</w:t>
            </w:r>
          </w:p>
        </w:tc>
        <w:tc>
          <w:tcPr>
            <w:tcW w:w="2180" w:type="dxa"/>
            <w:vAlign w:val="center"/>
          </w:tcPr>
          <w:p>
            <w:bookmarkStart w:id="11" w:name="联系人电话"/>
            <w:r>
              <w:t>13879511222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熊少朋</w:t>
            </w:r>
            <w:bookmarkEnd w:id="13"/>
          </w:p>
        </w:tc>
        <w:tc>
          <w:tcPr>
            <w:tcW w:w="1313" w:type="dxa"/>
            <w:vAlign w:val="center"/>
          </w:tcPr>
          <w:p>
            <w:r>
              <w:rPr>
                <w:rFonts w:hint="eastAsia"/>
              </w:rPr>
              <w:t>管理者代表</w:t>
            </w:r>
          </w:p>
        </w:tc>
        <w:tc>
          <w:tcPr>
            <w:tcW w:w="2180" w:type="dxa"/>
          </w:tcPr>
          <w:p>
            <w:bookmarkStart w:id="14" w:name="管理者代表"/>
            <w:r>
              <w:t>熊少朋</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产品要求信息获取----产品要求评审-----签订合同----采购 ----检验----销售</w:t>
            </w:r>
          </w:p>
        </w:tc>
      </w:tr>
    </w:tbl>
    <w:p/>
    <w:p>
      <w:r>
        <w:rPr>
          <w:rFonts w:hint="eastAsia"/>
        </w:rPr>
        <w:t>二、本次审核信息</w:t>
      </w:r>
    </w:p>
    <w:tbl>
      <w:tblPr>
        <w:tblStyle w:val="8"/>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审核日期</w:t>
            </w:r>
          </w:p>
        </w:tc>
        <w:tc>
          <w:tcPr>
            <w:tcW w:w="8103" w:type="dxa"/>
            <w:gridSpan w:val="3"/>
            <w:tcMar>
              <w:left w:w="113" w:type="dxa"/>
            </w:tcMar>
          </w:tcPr>
          <w:p>
            <w:bookmarkStart w:id="15" w:name="审核日期"/>
            <w:r>
              <w:rPr>
                <w:rFonts w:hint="eastAsia"/>
              </w:rPr>
              <w:t>2022年12月20日 下午至2022年12月22日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审核目的</w:t>
            </w:r>
          </w:p>
        </w:tc>
        <w:tc>
          <w:tcPr>
            <w:tcW w:w="8103"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审核准则</w:t>
            </w:r>
          </w:p>
          <w:p/>
        </w:tc>
        <w:tc>
          <w:tcPr>
            <w:tcW w:w="8103"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rFonts w:hint="eastAsia"/>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p>
          <w:p>
            <w:pPr>
              <w:rPr>
                <w:lang w:val="de-DE"/>
              </w:rPr>
            </w:pPr>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vAlign w:val="center"/>
          </w:tcPr>
          <w:p>
            <w:r>
              <w:rPr>
                <w:rFonts w:hint="eastAsia"/>
              </w:rPr>
              <w:t>审核方式</w:t>
            </w:r>
          </w:p>
        </w:tc>
        <w:tc>
          <w:tcPr>
            <w:tcW w:w="8103"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ascii="宋体" w:hAnsi="宋体" w:cs="宋体"/>
                <w:color w:val="000000"/>
                <w:kern w:val="0"/>
                <w:szCs w:val="21"/>
              </w:rPr>
              <w:t>审核方法</w:t>
            </w:r>
          </w:p>
        </w:tc>
        <w:tc>
          <w:tcPr>
            <w:tcW w:w="8103"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审核类型</w:t>
            </w:r>
          </w:p>
        </w:tc>
        <w:tc>
          <w:tcPr>
            <w:tcW w:w="8103"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8103"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远程审核方式</w:t>
            </w:r>
          </w:p>
        </w:tc>
        <w:tc>
          <w:tcPr>
            <w:tcW w:w="8103"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信息安全的控制</w:t>
            </w:r>
          </w:p>
        </w:tc>
        <w:tc>
          <w:tcPr>
            <w:tcW w:w="8103"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远程审核资源</w:t>
            </w:r>
          </w:p>
        </w:tc>
        <w:tc>
          <w:tcPr>
            <w:tcW w:w="8103"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智能控制系统（RFID智能档案管理系统、RFID智能图书管理系统、智能门禁系统和智能环境控制系统）；金属制品（书架（智能）、货架（智能）、智能寄存柜、智能密集架、手动（无轨）密集架）；日用木制品；安防设备的销售</w:t>
            </w:r>
          </w:p>
          <w:p>
            <w:r>
              <w:t>E：智能控制系统（RFID智能档案管理系统、RFID智能图书管理系统、智能门禁系统和智能环境控制系统）；金属制品（书架（智能）、货架（智能）、智能寄存柜、智能密集架、手动（无轨）密集架）；日用木制品；安防设备的销售所涉及场所的相关环境管理活动</w:t>
            </w:r>
          </w:p>
          <w:p>
            <w:r>
              <w:t>O：智能控制系统（RFID智能档案管理系统、RFID智能图书管理系统、智能门禁系统和智能环境控制系统）；金属制品（书架（智能）、货架（智能）、智能寄存柜、智能密集架、手动（无轨）密集架）；日用木制品；安防设备的销售所涉及场所的相关职业健康安全管理活动</w:t>
            </w:r>
            <w:bookmarkEnd w:id="29"/>
          </w:p>
        </w:tc>
        <w:tc>
          <w:tcPr>
            <w:tcW w:w="3487"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3" w:type="dxa"/>
            <w:vMerge w:val="continue"/>
            <w:vAlign w:val="center"/>
          </w:tcPr>
          <w:p/>
        </w:tc>
        <w:tc>
          <w:tcPr>
            <w:tcW w:w="5625" w:type="dxa"/>
            <w:gridSpan w:val="3"/>
            <w:vMerge w:val="continue"/>
            <w:vAlign w:val="center"/>
          </w:tcPr>
          <w:p/>
        </w:tc>
        <w:tc>
          <w:tcPr>
            <w:tcW w:w="3487"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2" w:type="dxa"/>
            <w:gridSpan w:val="2"/>
            <w:vAlign w:val="center"/>
          </w:tcPr>
          <w:p>
            <w:r>
              <w:rPr>
                <w:rFonts w:hint="eastAsia"/>
              </w:rPr>
              <w:t>不适用ISO9001的条款</w:t>
            </w:r>
          </w:p>
        </w:tc>
        <w:tc>
          <w:tcPr>
            <w:tcW w:w="8103"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2" w:type="dxa"/>
            <w:gridSpan w:val="2"/>
            <w:vAlign w:val="center"/>
          </w:tcPr>
          <w:p>
            <w:r>
              <w:rPr>
                <w:rFonts w:hint="eastAsia"/>
              </w:rPr>
              <w:t>不适用的理由（可多选）</w:t>
            </w:r>
          </w:p>
        </w:tc>
        <w:tc>
          <w:tcPr>
            <w:tcW w:w="8103"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2" w:type="dxa"/>
            <w:gridSpan w:val="2"/>
            <w:vAlign w:val="center"/>
          </w:tcPr>
          <w:p>
            <w:r>
              <w:rPr>
                <w:rFonts w:hint="eastAsia"/>
              </w:rPr>
              <w:t>体系文件实施时间</w:t>
            </w:r>
          </w:p>
        </w:tc>
        <w:tc>
          <w:tcPr>
            <w:tcW w:w="2733" w:type="dxa"/>
          </w:tcPr>
          <w:p>
            <w:r>
              <w:rPr>
                <w:rFonts w:hint="eastAsia"/>
              </w:rPr>
              <w:t>2022年07月02日</w:t>
            </w:r>
          </w:p>
        </w:tc>
        <w:tc>
          <w:tcPr>
            <w:tcW w:w="1883" w:type="dxa"/>
            <w:vAlign w:val="center"/>
          </w:tcPr>
          <w:p>
            <w:r>
              <w:rPr>
                <w:rFonts w:hint="eastAsia"/>
              </w:rPr>
              <w:t>管理体系运行已超过3个月</w:t>
            </w:r>
          </w:p>
        </w:tc>
        <w:tc>
          <w:tcPr>
            <w:tcW w:w="3487"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19</w:t>
            </w:r>
            <w:r>
              <w:rPr>
                <w:rFonts w:hint="eastAsia"/>
              </w:rPr>
              <w:t>日</w:t>
            </w:r>
            <w:r>
              <w:rPr>
                <w:rFonts w:hint="eastAsia"/>
                <w:lang w:eastAsia="zh-CN"/>
              </w:rPr>
              <w:t>一阶段</w:t>
            </w:r>
          </w:p>
        </w:tc>
        <w:tc>
          <w:tcPr>
            <w:tcW w:w="1883" w:type="dxa"/>
            <w:vAlign w:val="center"/>
          </w:tcPr>
          <w:p>
            <w:r>
              <w:rPr>
                <w:rFonts w:hint="eastAsia"/>
              </w:rPr>
              <w:t>认证证书有效期</w:t>
            </w:r>
          </w:p>
          <w:p>
            <w:r>
              <w:rPr>
                <w:rFonts w:hint="eastAsia"/>
              </w:rPr>
              <w:t>（初审除外）</w:t>
            </w:r>
          </w:p>
        </w:tc>
        <w:tc>
          <w:tcPr>
            <w:tcW w:w="3487"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65"/>
        <w:gridCol w:w="2195"/>
        <w:gridCol w:w="559"/>
        <w:gridCol w:w="3089"/>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065" w:type="dxa"/>
            <w:shd w:val="clear" w:color="auto" w:fill="F3F3F3"/>
            <w:tcMar>
              <w:left w:w="57" w:type="dxa"/>
              <w:right w:w="57" w:type="dxa"/>
            </w:tcMar>
          </w:tcPr>
          <w:p>
            <w:r>
              <w:rPr>
                <w:rFonts w:hint="eastAsia"/>
              </w:rPr>
              <w:t>组织名称及注册场所地址</w:t>
            </w:r>
          </w:p>
        </w:tc>
        <w:tc>
          <w:tcPr>
            <w:tcW w:w="2195" w:type="dxa"/>
            <w:shd w:val="clear" w:color="auto" w:fill="F3F3F3"/>
            <w:tcMar>
              <w:left w:w="57" w:type="dxa"/>
              <w:right w:w="57" w:type="dxa"/>
            </w:tcMar>
          </w:tcPr>
          <w:p>
            <w:r>
              <w:rPr>
                <w:rFonts w:hint="eastAsia"/>
              </w:rPr>
              <w:t>经营场所的地址</w:t>
            </w:r>
          </w:p>
          <w:p>
            <w:r>
              <w:rPr>
                <w:rFonts w:hint="eastAsia"/>
              </w:rPr>
              <w:t>（多现场和临时现场）</w:t>
            </w:r>
          </w:p>
        </w:tc>
        <w:tc>
          <w:tcPr>
            <w:tcW w:w="559" w:type="dxa"/>
            <w:shd w:val="clear" w:color="auto" w:fill="F3F3F3"/>
            <w:tcMar>
              <w:left w:w="57" w:type="dxa"/>
              <w:right w:w="57" w:type="dxa"/>
            </w:tcMar>
          </w:tcPr>
          <w:p>
            <w:r>
              <w:rPr>
                <w:rFonts w:hint="eastAsia"/>
              </w:rPr>
              <w:t>员工人数</w:t>
            </w:r>
          </w:p>
        </w:tc>
        <w:tc>
          <w:tcPr>
            <w:tcW w:w="3089"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065" w:type="dxa"/>
            <w:vAlign w:val="top"/>
          </w:tcPr>
          <w:p>
            <w:pPr>
              <w:spacing w:before="40" w:after="40"/>
            </w:pPr>
            <w:r>
              <w:t>江西鼎帅智能科技有限公司</w:t>
            </w:r>
          </w:p>
          <w:p>
            <w:pPr>
              <w:pStyle w:val="24"/>
              <w:ind w:left="0" w:leftChars="0" w:firstLine="0" w:firstLineChars="0"/>
              <w:rPr>
                <w:lang w:val="de-DE" w:eastAsia="ja-JP"/>
              </w:rPr>
            </w:pPr>
            <w:r>
              <w:rPr>
                <w:rFonts w:hint="eastAsia"/>
                <w:lang w:val="de-DE" w:eastAsia="ja-JP"/>
              </w:rPr>
              <w:t>江西省宜春市樟树市观上镇上胡村123号（自主承诺）</w:t>
            </w:r>
          </w:p>
        </w:tc>
        <w:tc>
          <w:tcPr>
            <w:tcW w:w="2195" w:type="dxa"/>
            <w:vAlign w:val="top"/>
          </w:tcPr>
          <w:p>
            <w:pPr>
              <w:spacing w:before="40" w:after="40"/>
              <w:rPr>
                <w:lang w:val="de-DE" w:eastAsia="ja-JP"/>
              </w:rPr>
            </w:pPr>
            <w:r>
              <w:rPr>
                <w:rFonts w:hint="eastAsia" w:eastAsia="黑体"/>
                <w:szCs w:val="21"/>
                <w:lang w:val="de-DE" w:eastAsia="ja-JP"/>
              </w:rPr>
              <w:t>江西省宜春市樟树市四特大道305号</w:t>
            </w:r>
          </w:p>
        </w:tc>
        <w:tc>
          <w:tcPr>
            <w:tcW w:w="559" w:type="dxa"/>
            <w:vAlign w:val="center"/>
          </w:tcPr>
          <w:p>
            <w:pPr>
              <w:spacing w:before="40" w:after="40"/>
              <w:rPr>
                <w:lang w:eastAsia="ja-JP"/>
              </w:rPr>
            </w:pPr>
            <w:r>
              <w:rPr>
                <w:rFonts w:hint="eastAsia" w:eastAsia="黑体"/>
                <w:szCs w:val="21"/>
                <w:lang w:val="en-US" w:eastAsia="zh-CN"/>
              </w:rPr>
              <w:t>11</w:t>
            </w:r>
          </w:p>
        </w:tc>
        <w:tc>
          <w:tcPr>
            <w:tcW w:w="3089" w:type="dxa"/>
            <w:vAlign w:val="center"/>
          </w:tcPr>
          <w:p>
            <w:pPr>
              <w:pStyle w:val="20"/>
              <w:rPr>
                <w:lang w:eastAsia="ja-JP"/>
              </w:rPr>
            </w:pPr>
            <w:r>
              <w:rPr>
                <w:rFonts w:hint="eastAsia" w:eastAsia="黑体" w:cs="Arial"/>
                <w:sz w:val="21"/>
                <w:szCs w:val="21"/>
                <w:lang w:val="en-US" w:eastAsia="ja-JP"/>
              </w:rPr>
              <w:t>智能控制系统（RFID智能档案管理系统、RFID智能图书管理系统、智能门禁系统和智能环境控制系统）；金属制品（书架（智能）、货架（智能）、智能寄存柜、智能密集架、手动（无轨）密集架）；日用木制品；安防设备的销售</w:t>
            </w:r>
          </w:p>
        </w:tc>
        <w:tc>
          <w:tcPr>
            <w:tcW w:w="669" w:type="dxa"/>
            <w:vAlign w:val="center"/>
          </w:tcPr>
          <w:p>
            <w:pPr>
              <w:spacing w:before="40" w:after="40"/>
              <w:rPr>
                <w:lang w:eastAsia="ja-JP"/>
              </w:rPr>
            </w:pPr>
            <w:r>
              <w:rPr>
                <w:rFonts w:hint="eastAsia" w:eastAsia="黑体"/>
                <w:szCs w:val="21"/>
                <w:lang w:eastAsia="ja-JP"/>
              </w:rPr>
              <w:t>GB/T19001-2016/ISO 9001:2015</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MS Gothic" w:hAnsi="MS Gothic" w:eastAsia="黑体" w:cs="Segoe UI Symbol"/>
                    <w:szCs w:val="21"/>
                    <w:lang w:eastAsia="zh-CN"/>
                  </w:rPr>
                  <w:sym w:font="Wingdings 2" w:char="0052"/>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065" w:type="dxa"/>
            <w:vAlign w:val="top"/>
          </w:tcPr>
          <w:p>
            <w:pPr>
              <w:spacing w:before="40" w:after="40"/>
            </w:pPr>
            <w:r>
              <w:t>江西鼎帅智能科技有限公司</w:t>
            </w:r>
          </w:p>
          <w:p>
            <w:pPr>
              <w:pStyle w:val="24"/>
              <w:ind w:left="0" w:leftChars="0" w:firstLine="0" w:firstLineChars="0"/>
              <w:rPr>
                <w:lang w:eastAsia="ja-JP"/>
              </w:rPr>
            </w:pPr>
            <w:r>
              <w:rPr>
                <w:rFonts w:hint="eastAsia"/>
                <w:lang w:val="de-DE" w:eastAsia="ja-JP"/>
              </w:rPr>
              <w:t>江西省宜春市樟树市观上镇上胡村123号（自主承诺）</w:t>
            </w:r>
          </w:p>
        </w:tc>
        <w:tc>
          <w:tcPr>
            <w:tcW w:w="2195" w:type="dxa"/>
            <w:vAlign w:val="top"/>
          </w:tcPr>
          <w:p>
            <w:pPr>
              <w:spacing w:before="40" w:after="40"/>
              <w:rPr>
                <w:lang w:eastAsia="ja-JP"/>
              </w:rPr>
            </w:pPr>
            <w:r>
              <w:rPr>
                <w:rFonts w:hint="eastAsia" w:eastAsia="黑体"/>
                <w:szCs w:val="21"/>
                <w:lang w:val="de-DE" w:eastAsia="ja-JP"/>
              </w:rPr>
              <w:t>江西省宜春市樟树市四特大道305号</w:t>
            </w:r>
          </w:p>
        </w:tc>
        <w:tc>
          <w:tcPr>
            <w:tcW w:w="559" w:type="dxa"/>
            <w:vAlign w:val="center"/>
          </w:tcPr>
          <w:p>
            <w:pPr>
              <w:spacing w:before="40" w:after="40"/>
              <w:rPr>
                <w:lang w:eastAsia="ja-JP"/>
              </w:rPr>
            </w:pPr>
            <w:r>
              <w:rPr>
                <w:rFonts w:hint="eastAsia" w:eastAsia="黑体"/>
                <w:szCs w:val="21"/>
                <w:lang w:val="en-US" w:eastAsia="zh-CN"/>
              </w:rPr>
              <w:t>11</w:t>
            </w:r>
          </w:p>
        </w:tc>
        <w:tc>
          <w:tcPr>
            <w:tcW w:w="3089" w:type="dxa"/>
            <w:vAlign w:val="center"/>
          </w:tcPr>
          <w:p>
            <w:pPr>
              <w:spacing w:before="40" w:after="40"/>
              <w:rPr>
                <w:lang w:eastAsia="ja-JP"/>
              </w:rPr>
            </w:pPr>
            <w:r>
              <w:rPr>
                <w:rFonts w:hint="eastAsia" w:eastAsia="黑体"/>
                <w:szCs w:val="21"/>
                <w:lang w:eastAsia="ja-JP"/>
              </w:rPr>
              <w:t>智能控制系统（RFID智能档案管理系统、RFID智能图书管理系统、智能门禁系统和智能环境控制系统）；金属制品（书架（智能）、货架（智能）、智能寄存柜、智能密集架、手动（无轨）密集架）；日用木制品；安防设备的销售所涉及场所的相关环境管理活动</w:t>
            </w:r>
          </w:p>
        </w:tc>
        <w:tc>
          <w:tcPr>
            <w:tcW w:w="669" w:type="dxa"/>
            <w:vAlign w:val="center"/>
          </w:tcPr>
          <w:p>
            <w:pPr>
              <w:spacing w:before="40" w:after="40"/>
              <w:rPr>
                <w:lang w:eastAsia="ja-JP"/>
              </w:rPr>
            </w:pPr>
            <w:r>
              <w:rPr>
                <w:rFonts w:hint="eastAsia" w:eastAsia="黑体"/>
                <w:szCs w:val="21"/>
                <w:lang w:eastAsia="ja-JP"/>
              </w:rPr>
              <w:t>GB/T24001-2016/ISO 14001:2015</w:t>
            </w:r>
          </w:p>
        </w:tc>
        <w:tc>
          <w:tcPr>
            <w:tcW w:w="668" w:type="dxa"/>
            <w:shd w:val="clear" w:color="auto" w:fill="FFFFFF"/>
            <w:vAlign w:val="top"/>
          </w:tcPr>
          <w:sdt>
            <w:sdtPr>
              <w:rPr>
                <w:rFonts w:eastAsia="黑体"/>
                <w:szCs w:val="21"/>
              </w:rPr>
              <w:id w:val="1360237495"/>
            </w:sdtPr>
            <w:sdtEndPr>
              <w:rPr>
                <w:rFonts w:eastAsia="黑体"/>
                <w:szCs w:val="21"/>
              </w:rPr>
            </w:sdtEndPr>
            <w:sdtContent>
              <w:p>
                <w:pPr>
                  <w:rPr>
                    <w:rFonts w:eastAsia="黑体"/>
                    <w:szCs w:val="21"/>
                  </w:rPr>
                </w:pPr>
                <w:r>
                  <w:rPr>
                    <w:rFonts w:hint="eastAsia" w:ascii="Segoe UI Symbol" w:hAnsi="Segoe UI Symbol" w:eastAsia="黑体" w:cs="Segoe UI Symbol"/>
                    <w:szCs w:val="21"/>
                    <w:lang w:eastAsia="zh-CN"/>
                  </w:rPr>
                  <w:sym w:font="Wingdings 2" w:char="0052"/>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065" w:type="dxa"/>
            <w:vAlign w:val="top"/>
          </w:tcPr>
          <w:p>
            <w:pPr>
              <w:spacing w:before="40" w:after="40"/>
            </w:pPr>
            <w:r>
              <w:t>江西鼎帅智能科技有限公司</w:t>
            </w:r>
          </w:p>
          <w:p>
            <w:pPr>
              <w:pStyle w:val="24"/>
              <w:ind w:left="0" w:leftChars="0" w:firstLine="0" w:firstLineChars="0"/>
              <w:rPr>
                <w:lang w:eastAsia="ja-JP"/>
              </w:rPr>
            </w:pPr>
            <w:r>
              <w:rPr>
                <w:rFonts w:hint="eastAsia"/>
                <w:lang w:val="de-DE" w:eastAsia="ja-JP"/>
              </w:rPr>
              <w:t>江西省宜春市樟树市观上镇上胡村123号（自主承诺）</w:t>
            </w:r>
          </w:p>
        </w:tc>
        <w:tc>
          <w:tcPr>
            <w:tcW w:w="2195" w:type="dxa"/>
            <w:vAlign w:val="top"/>
          </w:tcPr>
          <w:p>
            <w:pPr>
              <w:spacing w:before="40" w:after="40"/>
              <w:rPr>
                <w:lang w:eastAsia="ja-JP"/>
              </w:rPr>
            </w:pPr>
            <w:r>
              <w:rPr>
                <w:rFonts w:hint="eastAsia" w:eastAsia="黑体"/>
                <w:szCs w:val="21"/>
                <w:lang w:val="de-DE" w:eastAsia="ja-JP"/>
              </w:rPr>
              <w:t>江西省宜春市樟树市四特大道305号</w:t>
            </w:r>
          </w:p>
        </w:tc>
        <w:tc>
          <w:tcPr>
            <w:tcW w:w="559" w:type="dxa"/>
            <w:vAlign w:val="center"/>
          </w:tcPr>
          <w:p>
            <w:pPr>
              <w:spacing w:before="40" w:after="40"/>
              <w:rPr>
                <w:lang w:eastAsia="ja-JP"/>
              </w:rPr>
            </w:pPr>
            <w:r>
              <w:rPr>
                <w:rFonts w:hint="eastAsia" w:eastAsia="黑体"/>
                <w:szCs w:val="21"/>
                <w:lang w:val="en-US" w:eastAsia="zh-CN"/>
              </w:rPr>
              <w:t>11</w:t>
            </w:r>
          </w:p>
        </w:tc>
        <w:tc>
          <w:tcPr>
            <w:tcW w:w="3089" w:type="dxa"/>
            <w:vAlign w:val="center"/>
          </w:tcPr>
          <w:p>
            <w:pPr>
              <w:spacing w:before="40" w:after="40"/>
              <w:rPr>
                <w:lang w:eastAsia="ja-JP"/>
              </w:rPr>
            </w:pPr>
            <w:r>
              <w:rPr>
                <w:rFonts w:hint="eastAsia" w:eastAsia="黑体"/>
                <w:szCs w:val="21"/>
                <w:lang w:eastAsia="ja-JP"/>
              </w:rPr>
              <w:t>智能控制系统（RFID智能档案管理系统、RFID智能图书管理系统、智能门禁系统和智能环境控制系统）；金属制品（书架（智能）、货架（智能）、智能寄存柜、智能密集架、手动（无轨）密集架）；日用木制品；安防设备的销售所涉及场所的相关职业健康安全管理活动</w:t>
            </w:r>
          </w:p>
        </w:tc>
        <w:tc>
          <w:tcPr>
            <w:tcW w:w="669" w:type="dxa"/>
            <w:vAlign w:val="center"/>
          </w:tcPr>
          <w:p>
            <w:pPr>
              <w:spacing w:before="40" w:after="40"/>
              <w:rPr>
                <w:lang w:eastAsia="ja-JP"/>
              </w:rPr>
            </w:pPr>
            <w:r>
              <w:rPr>
                <w:rFonts w:hint="eastAsia" w:eastAsia="黑体"/>
                <w:szCs w:val="21"/>
                <w:lang w:eastAsia="ja-JP"/>
              </w:rPr>
              <w:t>GB/T 45001-2020/ISO45001：2018</w:t>
            </w:r>
          </w:p>
        </w:tc>
        <w:tc>
          <w:tcPr>
            <w:tcW w:w="668" w:type="dxa"/>
            <w:shd w:val="clear" w:color="auto" w:fill="FFFFFF"/>
            <w:vAlign w:val="top"/>
          </w:tcPr>
          <w:sdt>
            <w:sdtPr>
              <w:rPr>
                <w:rFonts w:eastAsia="黑体"/>
                <w:szCs w:val="21"/>
              </w:rPr>
              <w:id w:val="1022285066"/>
            </w:sdtPr>
            <w:sdtEndPr>
              <w:rPr>
                <w:rFonts w:eastAsia="黑体"/>
                <w:szCs w:val="21"/>
              </w:rPr>
            </w:sdtEndPr>
            <w:sdtContent>
              <w:p>
                <w:pPr>
                  <w:rPr>
                    <w:rFonts w:eastAsia="黑体"/>
                    <w:szCs w:val="21"/>
                  </w:rPr>
                </w:pPr>
                <w:r>
                  <w:rPr>
                    <w:rFonts w:hint="eastAsia" w:ascii="Segoe UI Symbol" w:hAnsi="Segoe UI Symbol" w:eastAsia="黑体" w:cs="Segoe UI Symbol"/>
                    <w:szCs w:val="21"/>
                    <w:lang w:eastAsia="zh-CN"/>
                  </w:rPr>
                  <w:sym w:font="Wingdings 2" w:char="0052"/>
                </w:r>
              </w:p>
            </w:sdtContent>
          </w:sdt>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p>
            <w:r>
              <w:t>2021-N1EMS-3068076</w:t>
            </w:r>
          </w:p>
          <w:p>
            <w:r>
              <w:t>2022-N1OHSMS-3068076</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top"/>
          </w:tcPr>
          <w:p>
            <w:r>
              <w:rPr>
                <w:rFonts w:hint="eastAsia"/>
                <w:lang w:val="en-US" w:eastAsia="zh-CN"/>
              </w:rPr>
              <w:t>0</w:t>
            </w:r>
          </w:p>
        </w:tc>
        <w:tc>
          <w:tcPr>
            <w:tcW w:w="1717" w:type="dxa"/>
            <w:vAlign w:val="top"/>
          </w:tcPr>
          <w:p>
            <w:r>
              <w:rPr>
                <w:rFonts w:hint="eastAsia"/>
                <w:lang w:val="en-US" w:eastAsia="zh-CN"/>
              </w:rPr>
              <w:t>0</w:t>
            </w:r>
          </w:p>
        </w:tc>
        <w:tc>
          <w:tcPr>
            <w:tcW w:w="1560" w:type="dxa"/>
            <w:vAlign w:val="top"/>
          </w:tcPr>
          <w:p>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r>
              <w:rPr>
                <w:rFonts w:hint="eastAsia"/>
                <w:lang w:val="en-US" w:eastAsia="zh-CN"/>
              </w:rPr>
              <w:t>0</w:t>
            </w:r>
          </w:p>
        </w:tc>
        <w:tc>
          <w:tcPr>
            <w:tcW w:w="1717" w:type="dxa"/>
            <w:vAlign w:val="top"/>
          </w:tcPr>
          <w:p>
            <w:r>
              <w:rPr>
                <w:rFonts w:hint="eastAsia"/>
                <w:lang w:val="en-US" w:eastAsia="zh-CN"/>
              </w:rPr>
              <w:t>0</w:t>
            </w:r>
          </w:p>
        </w:tc>
        <w:tc>
          <w:tcPr>
            <w:tcW w:w="1560" w:type="dxa"/>
            <w:vAlign w:val="top"/>
          </w:tcPr>
          <w:p>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sz w:val="24"/>
                <w:lang w:eastAsia="zh-CN"/>
              </w:rPr>
              <w:drawing>
                <wp:anchor distT="0" distB="0" distL="114300" distR="114300" simplePos="0" relativeHeight="251662336" behindDoc="0" locked="0" layoutInCell="1" allowOverlap="1">
                  <wp:simplePos x="0" y="0"/>
                  <wp:positionH relativeFrom="column">
                    <wp:posOffset>185420</wp:posOffset>
                  </wp:positionH>
                  <wp:positionV relativeFrom="paragraph">
                    <wp:posOffset>0</wp:posOffset>
                  </wp:positionV>
                  <wp:extent cx="838835" cy="505460"/>
                  <wp:effectExtent l="0" t="0" r="18415" b="8255"/>
                  <wp:wrapNone/>
                  <wp:docPr id="2"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38835" cy="50546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2022.12.23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A3"/>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rPr>
                <w:rFonts w:hint="eastAsia"/>
                <w:lang w:val="en-GB"/>
              </w:rPr>
            </w:pP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 xml:space="preserve">质量至上、持续创新、诚实守信、顾客至上 </w:t>
            </w:r>
          </w:p>
          <w:p>
            <w:pPr>
              <w:shd w:val="clear" w:color="auto" w:fill="C7DAF1" w:themeFill="text2" w:themeFillTint="32"/>
              <w:rPr>
                <w:rFonts w:hint="eastAsia"/>
                <w:u w:val="single"/>
              </w:rPr>
            </w:pPr>
            <w:r>
              <w:rPr>
                <w:rFonts w:hint="eastAsia"/>
                <w:u w:val="single"/>
              </w:rPr>
              <w:t>预防为主，降低风险；遵章守法，减污降耗</w:t>
            </w:r>
          </w:p>
          <w:p>
            <w:pPr>
              <w:pStyle w:val="24"/>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销售部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市场竞争</w:t>
                  </w:r>
                </w:p>
              </w:tc>
              <w:tc>
                <w:tcPr>
                  <w:tcW w:w="3965" w:type="dxa"/>
                  <w:vAlign w:val="top"/>
                </w:tcPr>
                <w:p>
                  <w:pPr>
                    <w:shd w:val="clear" w:color="auto" w:fill="C7DAF1" w:themeFill="text2" w:themeFillTint="32"/>
                  </w:pPr>
                  <w:r>
                    <w:rPr>
                      <w:rFonts w:hint="eastAsia"/>
                      <w:lang w:eastAsia="zh-CN"/>
                    </w:rPr>
                    <w:t>建立管理体系</w:t>
                  </w:r>
                </w:p>
              </w:tc>
              <w:tc>
                <w:tcPr>
                  <w:tcW w:w="1717" w:type="dxa"/>
                  <w:vAlign w:val="top"/>
                </w:tcPr>
                <w:p>
                  <w:pPr>
                    <w:shd w:val="clear" w:color="auto" w:fill="C7DAF1" w:themeFill="text2"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3327"/>
              <w:gridCol w:w="1173"/>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327"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173"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26"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shd w:val="clear" w:color="auto" w:fill="auto"/>
                  <w:vAlign w:val="center"/>
                </w:tcPr>
                <w:p>
                  <w:pPr>
                    <w:spacing w:line="400" w:lineRule="exact"/>
                    <w:jc w:val="left"/>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 w:val="21"/>
                      <w:szCs w:val="21"/>
                      <w:highlight w:val="none"/>
                      <w:lang w:val="en-US" w:eastAsia="zh-CN"/>
                    </w:rPr>
                    <w:t>产品交货及时率≥97%</w:t>
                  </w:r>
                </w:p>
              </w:tc>
              <w:tc>
                <w:tcPr>
                  <w:tcW w:w="3327" w:type="dxa"/>
                  <w:shd w:val="clear" w:color="auto" w:fill="auto"/>
                  <w:vAlign w:val="center"/>
                </w:tcPr>
                <w:p>
                  <w:pPr>
                    <w:spacing w:line="400" w:lineRule="exact"/>
                    <w:jc w:val="left"/>
                    <w:rPr>
                      <w:rFonts w:hint="eastAsia" w:ascii="宋体" w:hAnsi="宋体" w:eastAsia="宋体" w:cs="Times New Roman"/>
                      <w:color w:val="000000"/>
                      <w:kern w:val="2"/>
                      <w:sz w:val="21"/>
                      <w:szCs w:val="21"/>
                      <w:highlight w:val="none"/>
                      <w:lang w:val="en-GB" w:eastAsia="zh-CN" w:bidi="ar-SA"/>
                    </w:rPr>
                  </w:pPr>
                  <w:r>
                    <w:rPr>
                      <w:rFonts w:hint="eastAsia" w:ascii="宋体" w:hAnsi="宋体"/>
                      <w:color w:val="000000"/>
                      <w:sz w:val="21"/>
                      <w:szCs w:val="21"/>
                      <w:highlight w:val="none"/>
                      <w:lang w:val="en-US" w:eastAsia="zh-CN"/>
                    </w:rPr>
                    <w:t>及时率=交货数÷总数×100%；</w:t>
                  </w:r>
                </w:p>
              </w:tc>
              <w:tc>
                <w:tcPr>
                  <w:tcW w:w="1173" w:type="dxa"/>
                  <w:shd w:val="clear" w:color="auto" w:fill="auto"/>
                  <w:vAlign w:val="center"/>
                </w:tcPr>
                <w:p>
                  <w:pPr>
                    <w:shd w:val="clear" w:color="auto" w:fill="C7DAF1" w:themeFill="text2" w:themeFillTint="32"/>
                    <w:rPr>
                      <w:lang w:val="en-GB"/>
                    </w:rPr>
                  </w:pPr>
                </w:p>
              </w:tc>
              <w:tc>
                <w:tcPr>
                  <w:tcW w:w="1626"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shd w:val="clear" w:color="auto" w:fill="auto"/>
                  <w:vAlign w:val="top"/>
                </w:tcPr>
                <w:p>
                  <w:pPr>
                    <w:spacing w:after="0"/>
                    <w:rPr>
                      <w:rFonts w:ascii="Times New Roman" w:hAnsi="Times New Roman" w:eastAsia="宋体" w:cs="Times New Roman"/>
                      <w:kern w:val="2"/>
                      <w:sz w:val="21"/>
                      <w:szCs w:val="21"/>
                      <w:lang w:val="en-US" w:eastAsia="zh-CN" w:bidi="ar-SA"/>
                    </w:rPr>
                  </w:pPr>
                  <w:r>
                    <w:rPr>
                      <w:rFonts w:hint="eastAsia" w:ascii="宋体" w:hAnsi="宋体"/>
                      <w:color w:val="000000"/>
                      <w:sz w:val="21"/>
                      <w:szCs w:val="21"/>
                    </w:rPr>
                    <w:t>顾客满意度9</w:t>
                  </w:r>
                  <w:r>
                    <w:rPr>
                      <w:rFonts w:ascii="宋体" w:hAnsi="宋体"/>
                      <w:color w:val="000000"/>
                      <w:sz w:val="21"/>
                      <w:szCs w:val="21"/>
                    </w:rPr>
                    <w:t>5</w:t>
                  </w:r>
                  <w:r>
                    <w:rPr>
                      <w:rFonts w:hint="eastAsia" w:ascii="宋体" w:hAnsi="宋体"/>
                      <w:color w:val="000000"/>
                      <w:sz w:val="21"/>
                      <w:szCs w:val="21"/>
                    </w:rPr>
                    <w:t>分以上</w:t>
                  </w:r>
                </w:p>
              </w:tc>
              <w:tc>
                <w:tcPr>
                  <w:tcW w:w="3327" w:type="dxa"/>
                  <w:shd w:val="clear" w:color="auto" w:fill="auto"/>
                  <w:vAlign w:val="top"/>
                </w:tcPr>
                <w:p>
                  <w:pPr>
                    <w:spacing w:after="0"/>
                    <w:rPr>
                      <w:rFonts w:ascii="Times New Roman" w:hAnsi="Times New Roman" w:eastAsia="宋体" w:cs="Times New Roman"/>
                      <w:kern w:val="2"/>
                      <w:sz w:val="21"/>
                      <w:szCs w:val="21"/>
                      <w:lang w:val="en-US" w:eastAsia="zh-CN" w:bidi="ar-SA"/>
                    </w:rPr>
                  </w:pPr>
                  <w:r>
                    <w:rPr>
                      <w:rFonts w:hint="eastAsia"/>
                      <w:sz w:val="21"/>
                      <w:szCs w:val="21"/>
                    </w:rPr>
                    <w:t>评定数÷总数×</w:t>
                  </w:r>
                  <w:r>
                    <w:rPr>
                      <w:sz w:val="21"/>
                      <w:szCs w:val="21"/>
                    </w:rPr>
                    <w:t>100%</w:t>
                  </w:r>
                </w:p>
              </w:tc>
              <w:tc>
                <w:tcPr>
                  <w:tcW w:w="1173" w:type="dxa"/>
                  <w:shd w:val="clear" w:color="auto" w:fill="auto"/>
                  <w:vAlign w:val="center"/>
                </w:tcPr>
                <w:p>
                  <w:pPr>
                    <w:shd w:val="clear" w:color="auto" w:fill="C7DAF1" w:themeFill="text2" w:themeFillTint="32"/>
                    <w:rPr>
                      <w:rFonts w:ascii="宋体" w:hAnsi="宋体"/>
                    </w:rPr>
                  </w:pPr>
                </w:p>
              </w:tc>
              <w:tc>
                <w:tcPr>
                  <w:tcW w:w="1626"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shd w:val="clear" w:color="auto" w:fill="auto"/>
                </w:tcPr>
                <w:p>
                  <w:pPr>
                    <w:shd w:val="clear" w:color="auto" w:fill="C7DAF1" w:themeFill="text2" w:themeFillTint="32"/>
                  </w:pPr>
                </w:p>
              </w:tc>
              <w:tc>
                <w:tcPr>
                  <w:tcW w:w="3327" w:type="dxa"/>
                  <w:shd w:val="clear" w:color="auto" w:fill="auto"/>
                  <w:vAlign w:val="center"/>
                </w:tcPr>
                <w:p>
                  <w:pPr>
                    <w:shd w:val="clear" w:color="auto" w:fill="C7DAF1" w:themeFill="text2" w:themeFillTint="32"/>
                    <w:rPr>
                      <w:rFonts w:ascii="宋体" w:hAnsi="宋体"/>
                    </w:rPr>
                  </w:pPr>
                </w:p>
              </w:tc>
              <w:tc>
                <w:tcPr>
                  <w:tcW w:w="1173" w:type="dxa"/>
                  <w:shd w:val="clear" w:color="auto" w:fill="auto"/>
                  <w:vAlign w:val="center"/>
                </w:tcPr>
                <w:p>
                  <w:pPr>
                    <w:shd w:val="clear" w:color="auto" w:fill="C7DAF1" w:themeFill="text2" w:themeFillTint="32"/>
                    <w:rPr>
                      <w:rFonts w:ascii="宋体" w:hAnsi="宋体"/>
                    </w:rPr>
                  </w:pPr>
                </w:p>
              </w:tc>
              <w:tc>
                <w:tcPr>
                  <w:tcW w:w="1626"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550</w:t>
            </w:r>
            <w:r>
              <w:rPr>
                <w:rFonts w:hint="eastAsia"/>
              </w:rPr>
              <w:t>平方米；生产车间</w:t>
            </w:r>
            <w:r>
              <w:rPr>
                <w:rFonts w:hint="eastAsia"/>
                <w:lang w:val="en-US" w:eastAsia="zh-CN"/>
              </w:rPr>
              <w:t>/</w:t>
            </w:r>
            <w:r>
              <w:rPr>
                <w:rFonts w:hint="eastAsia"/>
              </w:rPr>
              <w:t>个；库房</w:t>
            </w:r>
            <w:r>
              <w:rPr>
                <w:rFonts w:hint="eastAsia"/>
                <w:lang w:val="en-US" w:eastAsia="zh-CN"/>
              </w:rPr>
              <w:t>/</w:t>
            </w:r>
            <w:r>
              <w:rPr>
                <w:rFonts w:hint="eastAsia"/>
              </w:rPr>
              <w:t>个；实验室</w:t>
            </w:r>
            <w:r>
              <w:rPr>
                <w:rFonts w:hint="eastAsia"/>
                <w:lang w:val="en-US" w:eastAsia="zh-CN"/>
              </w:rPr>
              <w:t>/</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u w:val="single"/>
                <w:lang w:eastAsia="zh-CN"/>
              </w:rPr>
              <w:t>电脑、打印机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8"/>
              <w:gridCol w:w="1200"/>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88" w:type="dxa"/>
                </w:tcPr>
                <w:p>
                  <w:pPr>
                    <w:shd w:val="clear" w:color="auto" w:fill="C7DAF1" w:themeFill="text2" w:themeFillTint="32"/>
                    <w:jc w:val="left"/>
                  </w:pPr>
                  <w:r>
                    <w:rPr>
                      <w:rFonts w:hint="eastAsia"/>
                    </w:rPr>
                    <w:t>产品/服务名称</w:t>
                  </w:r>
                </w:p>
              </w:tc>
              <w:tc>
                <w:tcPr>
                  <w:tcW w:w="1200" w:type="dxa"/>
                </w:tcPr>
                <w:p>
                  <w:pPr>
                    <w:shd w:val="clear" w:color="auto" w:fill="C7DAF1" w:themeFill="text2" w:themeFillTint="32"/>
                    <w:jc w:val="left"/>
                  </w:pPr>
                  <w:r>
                    <w:rPr>
                      <w:rFonts w:hint="eastAsia"/>
                    </w:rPr>
                    <w:t>关键过程</w:t>
                  </w:r>
                </w:p>
              </w:tc>
              <w:tc>
                <w:tcPr>
                  <w:tcW w:w="2734"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8" w:type="dxa"/>
                </w:tcPr>
                <w:p>
                  <w:pPr>
                    <w:shd w:val="clear" w:color="auto" w:fill="C7DAF1" w:themeFill="text2" w:themeFillTint="32"/>
                    <w:jc w:val="left"/>
                  </w:pPr>
                  <w:r>
                    <w:t>智能控制系统（RFID智能档案管理系统、RFID智能图书管理系统、智能门禁系统和智能环境控制系统）；金属制品（书架（智能）、货架（智能）、智能寄存柜、智能密集架、手动（无轨）密集架）；日用木制品；安防设备的销售</w:t>
                  </w:r>
                </w:p>
              </w:tc>
              <w:tc>
                <w:tcPr>
                  <w:tcW w:w="1200" w:type="dxa"/>
                </w:tcPr>
                <w:p>
                  <w:pPr>
                    <w:shd w:val="clear" w:color="auto" w:fill="C7DAF1" w:themeFill="text2" w:themeFillTint="32"/>
                    <w:jc w:val="left"/>
                    <w:rPr>
                      <w:rFonts w:hint="eastAsia" w:eastAsia="宋体"/>
                      <w:lang w:eastAsia="zh-CN"/>
                    </w:rPr>
                  </w:pPr>
                  <w:r>
                    <w:rPr>
                      <w:rFonts w:hint="eastAsia"/>
                      <w:lang w:eastAsia="zh-CN"/>
                    </w:rPr>
                    <w:t>销售</w:t>
                  </w:r>
                </w:p>
              </w:tc>
              <w:tc>
                <w:tcPr>
                  <w:tcW w:w="2734" w:type="dxa"/>
                </w:tcPr>
                <w:p>
                  <w:pPr>
                    <w:shd w:val="clear" w:color="auto" w:fill="C7DAF1" w:themeFill="text2" w:themeFillTint="32"/>
                    <w:jc w:val="left"/>
                  </w:pPr>
                  <w:r>
                    <w:rPr>
                      <w:rFonts w:hint="eastAsia"/>
                      <w:lang w:eastAsia="zh-CN"/>
                    </w:rPr>
                    <w:t>时间、态度</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销售</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通过年度策划于2022年11月2-3日实施了质量管理体系内部审核，对质量管理体系的符合性和有效性进行了审核。内审发现的项不符合在本次审核前已完成整改。在公司内完成的这些审核是可信的。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最高管理者已按策划的时间间隔，在2022年11月9日对组织的质量管理体系进行了评审，以确保其持续的适宜性、充分性和有效性；管理评审输入、输出均按要求提供。并对提出的改进措施进行了落实。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 xml:space="preserve">质量至上、持续创新、诚实守信、顾客至上 </w:t>
            </w:r>
          </w:p>
          <w:p>
            <w:pPr>
              <w:shd w:val="clear" w:color="auto" w:fill="EBF1DE" w:themeFill="accent3" w:themeFillTint="32"/>
              <w:rPr>
                <w:u w:val="single"/>
              </w:rPr>
            </w:pPr>
            <w:r>
              <w:rPr>
                <w:rFonts w:hint="eastAsia"/>
                <w:u w:val="single"/>
              </w:rPr>
              <w:t>预防为主，降低风险；遵章守法，减污降耗</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rPr>
                    <w:t>潜在火灾，固废</w:t>
                  </w:r>
                </w:p>
              </w:tc>
              <w:tc>
                <w:tcPr>
                  <w:tcW w:w="3965" w:type="dxa"/>
                  <w:vAlign w:val="top"/>
                </w:tcPr>
                <w:p>
                  <w:pPr>
                    <w:shd w:val="clear" w:color="auto" w:fill="EBF1DE" w:themeFill="accent3" w:themeFillTint="32"/>
                  </w:pPr>
                  <w:r>
                    <w:rPr>
                      <w:rFonts w:hint="eastAsia"/>
                      <w:lang w:eastAsia="zh-CN"/>
                    </w:rPr>
                    <w:t>建立管理体系</w:t>
                  </w:r>
                </w:p>
              </w:tc>
              <w:tc>
                <w:tcPr>
                  <w:tcW w:w="1717" w:type="dxa"/>
                  <w:vAlign w:val="top"/>
                </w:tcPr>
                <w:p>
                  <w:pPr>
                    <w:shd w:val="clear" w:color="auto" w:fill="EBF1DE" w:themeFill="accent3"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230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307"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shd w:val="clear" w:color="auto" w:fill="auto"/>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火灾事故为0</w:t>
                  </w:r>
                </w:p>
              </w:tc>
              <w:tc>
                <w:tcPr>
                  <w:tcW w:w="2307"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GB" w:eastAsia="zh-CN" w:bidi="ar-SA"/>
                    </w:rPr>
                  </w:pPr>
                  <w:r>
                    <w:rPr>
                      <w:rFonts w:hint="eastAsia"/>
                      <w:lang w:val="en-GB" w:eastAsia="zh-CN"/>
                    </w:rPr>
                    <w:t>运行控制、应急管理</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GB" w:eastAsia="zh-CN" w:bidi="ar-SA"/>
                    </w:rPr>
                  </w:pPr>
                  <w:r>
                    <w:rPr>
                      <w:rFonts w:hint="eastAsia"/>
                      <w:lang w:val="en-GB"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shd w:val="clear" w:color="auto" w:fill="auto"/>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固体废弃物分类处置率100%</w:t>
                  </w:r>
                </w:p>
              </w:tc>
              <w:tc>
                <w:tcPr>
                  <w:tcW w:w="2307"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lang w:val="en-GB" w:eastAsia="zh-CN"/>
                    </w:rPr>
                    <w:t>运行控制</w:t>
                  </w:r>
                </w:p>
              </w:tc>
              <w:tc>
                <w:tcPr>
                  <w:tcW w:w="1350"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lang w:val="en-GB" w:eastAsia="zh-CN"/>
                    </w:rPr>
                    <w:t>行政部</w:t>
                  </w:r>
                </w:p>
              </w:tc>
              <w:tc>
                <w:tcPr>
                  <w:tcW w:w="1774" w:type="dxa"/>
                  <w:shd w:val="clear" w:color="auto" w:fill="auto"/>
                  <w:vAlign w:val="center"/>
                </w:tcPr>
                <w:p>
                  <w:pPr>
                    <w:shd w:val="clear" w:color="auto" w:fill="EBF1DE" w:themeFill="accent3" w:themeFillTint="32"/>
                    <w:jc w:val="center"/>
                    <w:rPr>
                      <w:rFonts w:ascii="宋体" w:hAnsi="宋体" w:eastAsia="宋体" w:cs="Times New Roman"/>
                      <w:kern w:val="2"/>
                      <w:sz w:val="21"/>
                      <w:szCs w:val="24"/>
                      <w:lang w:val="en-US" w:eastAsia="zh-CN" w:bidi="ar-SA"/>
                    </w:rPr>
                  </w:pPr>
                  <w:r>
                    <w:rPr>
                      <w:rFonts w:hint="eastAsia" w:ascii="宋体" w:hAnsi="宋体"/>
                      <w:lang w:val="en-GB" w:eastAsia="zh-CN"/>
                    </w:rPr>
                    <w:t>完成</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550</w:t>
            </w:r>
            <w:r>
              <w:rPr>
                <w:rFonts w:hint="eastAsia"/>
              </w:rPr>
              <w:t>平方米；生产车间</w:t>
            </w:r>
            <w:r>
              <w:rPr>
                <w:rFonts w:hint="eastAsia"/>
                <w:lang w:val="en-US" w:eastAsia="zh-CN"/>
              </w:rPr>
              <w:t>/</w:t>
            </w:r>
            <w:r>
              <w:rPr>
                <w:rFonts w:hint="eastAsia"/>
              </w:rPr>
              <w:t>个；库房</w:t>
            </w:r>
            <w:r>
              <w:rPr>
                <w:rFonts w:hint="eastAsia"/>
                <w:lang w:val="en-US" w:eastAsia="zh-CN"/>
              </w:rPr>
              <w:t>/</w:t>
            </w:r>
            <w:r>
              <w:rPr>
                <w:rFonts w:hint="eastAsia"/>
              </w:rPr>
              <w:t>个；实验室</w:t>
            </w:r>
            <w:r>
              <w:rPr>
                <w:rFonts w:hint="eastAsia"/>
                <w:lang w:val="en-US" w:eastAsia="zh-CN"/>
              </w:rPr>
              <w:t>/</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u w:val="single"/>
                <w:lang w:eastAsia="zh-CN"/>
              </w:rPr>
              <w:t>电脑、打印机</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eastAsia="zh-CN"/>
              </w:rPr>
              <w:t>灭火器、垃圾桶</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lang w:val="en-US" w:eastAsia="zh-CN"/>
              </w:rPr>
              <w:t>/</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运行控制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eastAsia="zh-CN"/>
                    </w:rPr>
                    <w:t>运行控制</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eastAsia="zh-CN"/>
                    </w:rPr>
                    <w:t>运行控制</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eastAsia="zh-CN"/>
                    </w:rPr>
                    <w:t>运行控制、应急管理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于2022年9月3日进行了的演练；并总结了预案的可行性和有效性。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定期（每年）：2022年8月23日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通过年度策划于2022年11月2-3日实施了环境管理体系内部审核，对环境管理体系的符合性和有效性进行了审核。内审发现的项不符合在本次审核前已完成整改。在公司内完成的这些审核是可信的。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最高管理者已按策划的时间间隔，在2022年11月9日对组织的环境管理体系进行了评审，以确保其持续的适宜性、充分性和有效性；管理评审输入、输出均按要求提供。并对提出的改进措施进行了落实。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169"/>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A3"/>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widowControl/>
              <w:spacing w:before="40"/>
              <w:jc w:val="left"/>
              <w:rPr>
                <w:rFonts w:hint="eastAsia"/>
                <w:color w:val="000000"/>
                <w:szCs w:val="18"/>
              </w:rPr>
            </w:pPr>
            <w:r>
              <w:rPr>
                <w:rFonts w:hint="eastAsia"/>
                <w:color w:val="000000"/>
                <w:szCs w:val="18"/>
              </w:rPr>
              <w:t xml:space="preserve">质量至上、持续创新、诚实守信、顾客至上 </w:t>
            </w:r>
          </w:p>
          <w:p>
            <w:pPr>
              <w:widowControl/>
              <w:spacing w:before="40"/>
              <w:jc w:val="left"/>
              <w:rPr>
                <w:rFonts w:hint="eastAsia"/>
                <w:color w:val="000000"/>
                <w:szCs w:val="18"/>
              </w:rPr>
            </w:pPr>
            <w:r>
              <w:rPr>
                <w:rFonts w:hint="eastAsia"/>
                <w:color w:val="000000"/>
                <w:szCs w:val="18"/>
              </w:rPr>
              <w:t>预防为主，降低风险；遵章守法，减污降耗</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胡荣英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rPr>
                    <w:t>触电、潜在火灾</w:t>
                  </w:r>
                </w:p>
              </w:tc>
              <w:tc>
                <w:tcPr>
                  <w:tcW w:w="3965" w:type="dxa"/>
                  <w:vAlign w:val="top"/>
                </w:tcPr>
                <w:p>
                  <w:r>
                    <w:rPr>
                      <w:rFonts w:hint="eastAsia"/>
                      <w:lang w:eastAsia="zh-CN"/>
                    </w:rPr>
                    <w:t>建立管理体系</w:t>
                  </w:r>
                </w:p>
              </w:tc>
              <w:tc>
                <w:tcPr>
                  <w:tcW w:w="1717" w:type="dxa"/>
                  <w:vAlign w:val="top"/>
                </w:tcPr>
                <w:p>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olor w:val="000000"/>
                      <w:sz w:val="21"/>
                      <w:szCs w:val="21"/>
                      <w:highlight w:val="none"/>
                    </w:rPr>
                    <w:t>火灾事故为0</w:t>
                  </w:r>
                </w:p>
              </w:tc>
              <w:tc>
                <w:tcPr>
                  <w:tcW w:w="3136" w:type="dxa"/>
                  <w:shd w:val="clear" w:color="auto" w:fill="auto"/>
                  <w:vAlign w:val="center"/>
                </w:tcPr>
                <w:p>
                  <w:pPr>
                    <w:rPr>
                      <w:lang w:val="en-GB"/>
                    </w:rPr>
                  </w:pPr>
                  <w:r>
                    <w:rPr>
                      <w:rFonts w:hint="eastAsia"/>
                      <w:lang w:val="en-GB" w:eastAsia="zh-CN"/>
                    </w:rPr>
                    <w:t>运行控制、应急管理</w:t>
                  </w:r>
                </w:p>
              </w:tc>
              <w:tc>
                <w:tcPr>
                  <w:tcW w:w="1350" w:type="dxa"/>
                  <w:shd w:val="clear" w:color="auto" w:fill="auto"/>
                  <w:vAlign w:val="center"/>
                </w:tcPr>
                <w:p>
                  <w:pPr>
                    <w:rPr>
                      <w:lang w:val="en-GB"/>
                    </w:rPr>
                  </w:pPr>
                  <w:r>
                    <w:rPr>
                      <w:rFonts w:hint="eastAsia"/>
                      <w:lang w:val="en-GB" w:eastAsia="zh-CN"/>
                    </w:rPr>
                    <w:t>行政部</w:t>
                  </w:r>
                </w:p>
              </w:tc>
              <w:tc>
                <w:tcPr>
                  <w:tcW w:w="1774" w:type="dxa"/>
                  <w:shd w:val="clear" w:color="auto" w:fill="auto"/>
                  <w:vAlign w:val="center"/>
                </w:tcPr>
                <w:p>
                  <w:pPr>
                    <w:jc w:val="center"/>
                    <w:rPr>
                      <w:rFonts w:ascii="宋体" w:hAnsi="宋体"/>
                      <w:lang w:val="en-GB"/>
                    </w:rPr>
                  </w:pPr>
                  <w:r>
                    <w:rPr>
                      <w:rFonts w:hint="eastAsia" w:ascii="宋体" w:hAnsi="宋体"/>
                      <w:lang w:val="en-GB" w:eastAsia="zh-CN"/>
                    </w:rPr>
                    <w:t>完成</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550</w:t>
            </w:r>
            <w:r>
              <w:rPr>
                <w:rFonts w:hint="eastAsia"/>
              </w:rPr>
              <w:t>平方米；生产车间</w:t>
            </w:r>
            <w:r>
              <w:rPr>
                <w:rFonts w:hint="eastAsia"/>
                <w:lang w:val="en-US" w:eastAsia="zh-CN"/>
              </w:rPr>
              <w:t>/</w:t>
            </w:r>
            <w:r>
              <w:rPr>
                <w:rFonts w:hint="eastAsia"/>
              </w:rPr>
              <w:t>个；库房</w:t>
            </w:r>
            <w:r>
              <w:rPr>
                <w:rFonts w:hint="eastAsia"/>
                <w:lang w:val="en-US" w:eastAsia="zh-CN"/>
              </w:rPr>
              <w:t>/</w:t>
            </w:r>
            <w:r>
              <w:rPr>
                <w:rFonts w:hint="eastAsia"/>
              </w:rPr>
              <w:t>个；实验室</w:t>
            </w:r>
            <w:r>
              <w:rPr>
                <w:rFonts w:hint="eastAsia"/>
                <w:lang w:val="en-US" w:eastAsia="zh-CN"/>
              </w:rPr>
              <w:t>/</w:t>
            </w:r>
            <w:r>
              <w:rPr>
                <w:rFonts w:hint="eastAsia"/>
              </w:rPr>
              <w:t>个；</w:t>
            </w:r>
          </w:p>
          <w:p>
            <w:pPr>
              <w:rPr>
                <w:rFonts w:hint="eastAsia" w:eastAsia="宋体"/>
                <w:u w:val="single"/>
                <w:lang w:eastAsia="zh-CN"/>
              </w:rPr>
            </w:pPr>
            <w:r>
              <w:rPr>
                <w:rFonts w:hint="eastAsia"/>
              </w:rPr>
              <w:t>主要生产设备有：</w:t>
            </w:r>
            <w:r>
              <w:rPr>
                <w:rFonts w:hint="eastAsia"/>
                <w:u w:val="single"/>
                <w:lang w:eastAsia="zh-CN"/>
              </w:rPr>
              <w:t>电脑、打印机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运行控制、应急管理</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于2022年9月3日进行了的演练；并总结了预案的可行性和有效性。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定期（每年）：2022年8月23日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pPr>
              <w:rPr>
                <w:rFonts w:hint="eastAsia"/>
              </w:rPr>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pStyle w:val="2"/>
            </w:pP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通过年度策划于2022年11月2-3日实施了职业健康安全管理体系内部审核，对职业健康安全管理体系的符合性和有效性进行了审核。内审发现的项不符合在本次审核前已完成整改。在公司内完成的这些审核是可信的。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最高管理者已按策划的时间间隔，在2022年11月9日对组织的职业健康安全管理体系进行了评审，以确保其持续的适宜性、充分性和有效性；管理评审输入、输出均按要求提供。并对提出的改进措施进行了落实。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282"/>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bookmarkStart w:id="34" w:name="_GoBack"/>
      <w:bookmarkEnd w:id="34"/>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E5NTRmZWE1ODkyMzI3NzUzMjUzZWZjMTFlMDk4OTYifQ=="/>
  </w:docVars>
  <w:rsids>
    <w:rsidRoot w:val="00000000"/>
    <w:rsid w:val="707E11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18916</Words>
  <Characters>19673</Characters>
  <Lines>150</Lines>
  <Paragraphs>42</Paragraphs>
  <TotalTime>44</TotalTime>
  <ScaleCrop>false</ScaleCrop>
  <LinksUpToDate>false</LinksUpToDate>
  <CharactersWithSpaces>19794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2022-12-21T05:41:28Z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