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四川乐犍再生资源回收利用有限公司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1278-2022-QE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2"/>
                <w:szCs w:val="22"/>
                <w:highlight w:val="yellow"/>
              </w:rPr>
            </w:pPr>
            <w:r>
              <w:rPr>
                <w:sz w:val="20"/>
                <w:lang w:val="de-DE"/>
              </w:rPr>
              <w:t>2022-N1EMS-2247783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余家龙</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2020-N1QMS-1262293</w:t>
            </w:r>
          </w:p>
          <w:p>
            <w:pPr>
              <w:jc w:val="center"/>
              <w:rPr>
                <w:b/>
                <w:sz w:val="22"/>
                <w:szCs w:val="22"/>
                <w:highlight w:val="yellow"/>
              </w:rPr>
            </w:pPr>
            <w:r>
              <w:rPr>
                <w:sz w:val="20"/>
                <w:lang w:val="de-D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2022.12.26下午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2022.12.27下午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2022.12.27</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25B749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521</Words>
  <Characters>649</Characters>
  <Lines>5</Lines>
  <Paragraphs>1</Paragraphs>
  <TotalTime>1</TotalTime>
  <ScaleCrop>false</ScaleCrop>
  <LinksUpToDate>false</LinksUpToDate>
  <CharactersWithSpaces>674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2022-12-26T15:11:12Z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