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79"/>
        <w:gridCol w:w="215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四川乐犍再生资源回收利用有限公司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犍为县石溪镇石马村二组187号（石马坝中小企业孵化园内）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犍为县石溪镇石马村二组187号（石马坝中小企业孵化园内）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陈海燕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18228339993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403439773@qq.com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程勇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1278-2022-QE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Q：再生塑料颗粒的生产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E：再生塑料颗粒的生产所涉及场所的相关环境管理活动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Q：12.01.06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E：12.01.06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2022年12月26日 下午至2022年12月27日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E:12.01.06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62230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09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4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4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2022年12月23日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2022年12月23日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2022年12月23日</w:t>
            </w:r>
          </w:p>
        </w:tc>
      </w:tr>
    </w:tbl>
    <w:p/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10"/>
        <w:gridCol w:w="900"/>
        <w:gridCol w:w="583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5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5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总则；7.1.6组织知识；7.4沟通；9.1.1总则、9.1.3监测、分析和评价；9.2内部审核；9.3管理评审；10.1改进 总则；10.2不合格和纠正措施；10.3持续改进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7.4沟通；9.1.1监测、分析和评估总则；9.2内部审核；9.3管理评审；10.1改进 总则；10.2不合格和纠正措施；10.3持续改进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；7.1.4运作环境；8.5.1生产和服务提供的控制（上次不符合的验证）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85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:00（午休12:00-12:30）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5.3组织的角色、职责和权限；6.2质量目标及其实现的策划；7.1.5监视和测量资源；8.1运行策划和控制；8.3设计开发控制；8.6产品和服务放行；8.7不合格输出的控制；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:30-16:30（午休12:00-12:30）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5.3组织的角色、职责和权限；6.2质量目标及其实现的策划；7.1.2人员；7.2能力；7.3意识；7.5文件化信息；10.2不符合和纠正措施；10.3持续改进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18"/>
                <w:szCs w:val="18"/>
              </w:rPr>
              <w:t>职责和权限；6.1.3合规义务；6.2目标及其达成的策划；7.2能力；7.3意识；7.5文件化信息；6.1.2环境因素；8.1运行策划和控制；8.2应急准备和响应9.1监视、测量、分析与评估；9.1.2符合性评估；10.2不符合和纠正措施；10.3持续改进/EMS运行控制相关财务支出证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4DC330C"/>
    <w:rsid w:val="771C5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2152</Words>
  <Characters>3057</Characters>
  <Lines>37</Lines>
  <Paragraphs>10</Paragraphs>
  <TotalTime>1</TotalTime>
  <ScaleCrop>false</ScaleCrop>
  <LinksUpToDate>false</LinksUpToDate>
  <CharactersWithSpaces>3120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2022-12-27T04:48:15Z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