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重庆鑫盟精密模具有限公司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代小川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制造中心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ind w:firstLine="422" w:firstLineChars="200"/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查看固废的分类收集管理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在模具生产车间外洗手槽下存放大约十几个甲醇空瓶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未按要求分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类收集存放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不符合固废管理要求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firstLine="0" w:firstLineChars="0"/>
              <w:jc w:val="both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条款：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“组织应建立、实施、控制并保持满足环境管理体系要求以及实施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en-US"/>
              </w:rPr>
              <w:t>6.1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en-US"/>
              </w:rPr>
              <w:t>6.2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 xml:space="preserve">所识别的措施所需的过 程，通过：——按照运行准则实施过程控制。”的要求。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   日 期：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bookmarkStart w:id="19" w:name="_GoBack"/>
            <w:bookmarkEnd w:id="19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7D92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2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388</Words>
  <Characters>557</Characters>
  <Lines>6</Lines>
  <Paragraphs>1</Paragraphs>
  <TotalTime>2</TotalTime>
  <ScaleCrop>false</ScaleCrop>
  <LinksUpToDate>false</LinksUpToDate>
  <CharactersWithSpaces>821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2022-12-20T03:01:51Z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