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0" w:name="组织名称"/>
            <w:r>
              <w:rPr>
                <w:rFonts w:hint="eastAsia" w:ascii="楷体" w:hAnsi="楷体" w:eastAsia="楷体" w:cs="楷体"/>
                <w:sz w:val="21"/>
                <w:szCs w:val="21"/>
              </w:rPr>
              <w:t>任丘市红星电力通讯器材有限公司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bookmarkStart w:id="1" w:name="专业代码"/>
            <w:r>
              <w:rPr>
                <w:rFonts w:hint="eastAsia" w:ascii="楷体" w:hAnsi="楷体" w:eastAsia="楷体" w:cs="楷体"/>
                <w:sz w:val="21"/>
                <w:szCs w:val="21"/>
              </w:rPr>
              <w:t>14.02.01;14.02.04;17.12.04;17.12.05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14.02.01;14.02.04;17.12.04;17.12.05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冷校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80" w:lineRule="exact"/>
              <w:jc w:val="both"/>
              <w:textAlignment w:val="baseline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工艺流程图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通讯线路铁件、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电力金具（地锚拉杆、横担、抱箍）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下料—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机械加工（折弯、冲压、液压成型等）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—表面处理—装配—检验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塑料管材：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配料—搅拌—加热—挤出成型—牵引—切割—检验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机箱机柜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剪板—冲压—折边—焊接—表面处理—组装—检验</w:t>
            </w:r>
          </w:p>
          <w:p>
            <w:pPr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注：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其中焊接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/挤出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重要环境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因素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火灾、固废排放，制定目标管理方案及应急预案，对人员培训、进行消防演练等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相关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消防法、固体废物污染环境防治法、国家危险废物名录、大气污染防治法、空气质量标准及产品执行标准：</w:t>
            </w:r>
          </w:p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抱箍YD/T206.27-1997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单槽夹YD/T206.7-1997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电缆挂钩YD/T206.21-1997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YD/T841-2008《地下通信管道用塑料管》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YD/T1313-2008《网络箱》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GB/T23858-2009《检查井盖》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GB/T21835-2008《焊接钢管尺寸及单位长度重量》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LY/T1294-2012《直接用原木 电杆》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YD/T1274-2007《光线活动连接器》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660400" cy="2921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2022.12.18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660400" cy="29210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2022.12.18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2BC07F1"/>
    <w:rsid w:val="342C3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2022-12-26T23:06:14Z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