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1299-2021-QEO-2022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47"/>
        <w:gridCol w:w="1425"/>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57"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雅安市嘉玉农业有限公司</w:t>
            </w:r>
            <w:bookmarkEnd w:id="1"/>
          </w:p>
        </w:tc>
        <w:tc>
          <w:tcPr>
            <w:tcW w:w="142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04"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57" w:type="dxa"/>
            <w:gridSpan w:val="3"/>
          </w:tcPr>
          <w:p>
            <w:pPr>
              <w:snapToGrid w:val="0"/>
              <w:spacing w:line="0" w:lineRule="atLeast"/>
              <w:jc w:val="center"/>
              <w:rPr>
                <w:sz w:val="22"/>
                <w:szCs w:val="22"/>
              </w:rPr>
            </w:pPr>
          </w:p>
        </w:tc>
        <w:tc>
          <w:tcPr>
            <w:tcW w:w="1425" w:type="dxa"/>
          </w:tcPr>
          <w:p>
            <w:pPr>
              <w:snapToGrid w:val="0"/>
              <w:spacing w:line="0" w:lineRule="atLeast"/>
              <w:jc w:val="center"/>
              <w:rPr>
                <w:sz w:val="22"/>
                <w:szCs w:val="22"/>
              </w:rPr>
            </w:pPr>
            <w:r>
              <w:rPr>
                <w:rFonts w:hint="eastAsia"/>
                <w:sz w:val="22"/>
                <w:szCs w:val="22"/>
                <w:lang w:val="en-GB"/>
              </w:rPr>
              <w:t>证书号</w:t>
            </w:r>
          </w:p>
        </w:tc>
        <w:tc>
          <w:tcPr>
            <w:tcW w:w="2104" w:type="dxa"/>
          </w:tcPr>
          <w:p>
            <w:pPr>
              <w:snapToGrid w:val="0"/>
              <w:spacing w:line="0" w:lineRule="atLeast"/>
              <w:jc w:val="center"/>
              <w:rPr>
                <w:sz w:val="22"/>
                <w:szCs w:val="22"/>
              </w:rPr>
            </w:pPr>
            <w:bookmarkStart w:id="3" w:name="证书编号"/>
            <w:r>
              <w:rPr>
                <w:sz w:val="22"/>
                <w:szCs w:val="22"/>
              </w:rPr>
              <w:t>Q:ISC-Q-2021-1878,E:ISC-E-2021-1290,O:ISC-O-2021-1183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57" w:type="dxa"/>
            <w:gridSpan w:val="3"/>
          </w:tcPr>
          <w:p>
            <w:pPr>
              <w:snapToGrid w:val="0"/>
              <w:spacing w:line="0" w:lineRule="atLeast"/>
              <w:jc w:val="center"/>
              <w:rPr>
                <w:sz w:val="22"/>
                <w:szCs w:val="22"/>
              </w:rPr>
            </w:pPr>
            <w:bookmarkStart w:id="4" w:name="机构代码"/>
            <w:r>
              <w:rPr>
                <w:sz w:val="22"/>
                <w:szCs w:val="22"/>
              </w:rPr>
              <w:t>91511802MA69U8TT3X</w:t>
            </w:r>
            <w:bookmarkEnd w:id="4"/>
          </w:p>
        </w:tc>
        <w:tc>
          <w:tcPr>
            <w:tcW w:w="1425" w:type="dxa"/>
          </w:tcPr>
          <w:p>
            <w:pPr>
              <w:snapToGrid w:val="0"/>
              <w:spacing w:line="0" w:lineRule="atLeast"/>
              <w:jc w:val="center"/>
              <w:rPr>
                <w:sz w:val="22"/>
                <w:szCs w:val="22"/>
              </w:rPr>
            </w:pPr>
            <w:r>
              <w:rPr>
                <w:rFonts w:hint="eastAsia"/>
                <w:sz w:val="22"/>
                <w:szCs w:val="22"/>
              </w:rPr>
              <w:t>是否带CNAS标志</w:t>
            </w:r>
          </w:p>
        </w:tc>
        <w:tc>
          <w:tcPr>
            <w:tcW w:w="2104" w:type="dxa"/>
          </w:tcPr>
          <w:p>
            <w:pPr>
              <w:snapToGrid w:val="0"/>
              <w:spacing w:line="0" w:lineRule="atLeast"/>
              <w:rPr>
                <w:sz w:val="22"/>
                <w:szCs w:val="22"/>
              </w:rPr>
            </w:pPr>
            <w:bookmarkStart w:id="5" w:name="认可标志"/>
            <w:r>
              <w:rPr>
                <w:sz w:val="22"/>
                <w:szCs w:val="22"/>
              </w:rPr>
              <w:t>Q:未认可,E:未认可,O:未认可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57"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425" w:type="dxa"/>
          </w:tcPr>
          <w:p>
            <w:pPr>
              <w:snapToGrid w:val="0"/>
              <w:spacing w:line="0" w:lineRule="atLeast"/>
              <w:jc w:val="center"/>
              <w:rPr>
                <w:sz w:val="22"/>
                <w:szCs w:val="22"/>
              </w:rPr>
            </w:pPr>
            <w:r>
              <w:rPr>
                <w:rFonts w:hint="eastAsia"/>
                <w:sz w:val="22"/>
                <w:szCs w:val="22"/>
              </w:rPr>
              <w:t>企业体系有效人数</w:t>
            </w:r>
          </w:p>
        </w:tc>
        <w:tc>
          <w:tcPr>
            <w:tcW w:w="2104" w:type="dxa"/>
          </w:tcPr>
          <w:p>
            <w:pPr>
              <w:snapToGrid w:val="0"/>
              <w:spacing w:line="0" w:lineRule="atLeast"/>
              <w:jc w:val="center"/>
              <w:rPr>
                <w:sz w:val="22"/>
                <w:szCs w:val="22"/>
              </w:rPr>
            </w:pPr>
            <w:bookmarkStart w:id="13" w:name="体系人数"/>
            <w:r>
              <w:rPr>
                <w:sz w:val="22"/>
                <w:szCs w:val="22"/>
              </w:rPr>
              <w:t>Q:15,E:15,O:15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雅安市嘉玉农业有限公司</w:t>
            </w:r>
            <w:bookmarkEnd w:id="18"/>
          </w:p>
        </w:tc>
        <w:tc>
          <w:tcPr>
            <w:tcW w:w="5013" w:type="dxa"/>
            <w:gridSpan w:val="4"/>
            <w:vMerge w:val="restart"/>
          </w:tcPr>
          <w:p>
            <w:pPr>
              <w:snapToGrid w:val="0"/>
              <w:spacing w:line="0" w:lineRule="atLeast"/>
              <w:jc w:val="left"/>
              <w:rPr>
                <w:sz w:val="21"/>
                <w:szCs w:val="21"/>
              </w:rPr>
            </w:pPr>
            <w:bookmarkStart w:id="19" w:name="审核范围"/>
            <w:r>
              <w:rPr>
                <w:sz w:val="21"/>
                <w:szCs w:val="21"/>
              </w:rPr>
              <w:t>Q：资质许可范围内造林苗木、经济林苗木、城镇绿化苗木的种植及销售</w:t>
            </w:r>
          </w:p>
          <w:p>
            <w:pPr>
              <w:snapToGrid w:val="0"/>
              <w:spacing w:line="0" w:lineRule="atLeast"/>
              <w:jc w:val="left"/>
              <w:rPr>
                <w:sz w:val="21"/>
                <w:szCs w:val="21"/>
              </w:rPr>
            </w:pPr>
            <w:r>
              <w:rPr>
                <w:sz w:val="21"/>
                <w:szCs w:val="21"/>
              </w:rPr>
              <w:t>E：资质许可范围内造林苗木、经济林苗木、城镇绿化苗木的种植及销售所涉及场所的相关环境管理活动</w:t>
            </w:r>
          </w:p>
          <w:p>
            <w:pPr>
              <w:snapToGrid w:val="0"/>
              <w:spacing w:line="0" w:lineRule="atLeast"/>
              <w:jc w:val="left"/>
              <w:rPr>
                <w:sz w:val="21"/>
                <w:szCs w:val="21"/>
              </w:rPr>
            </w:pPr>
            <w:r>
              <w:rPr>
                <w:sz w:val="21"/>
                <w:szCs w:val="21"/>
              </w:rPr>
              <w:t>O：资质许可范围内造林苗木、经济林苗木、城镇绿化苗木的种植及销售所涉及场所的相关职业健康安全管理活动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四川省雅安市雨城区上里镇建新村11组43号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四川省雅安市雨城区上里镇建新村11组43号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57"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25" w:type="dxa"/>
          </w:tcPr>
          <w:p>
            <w:pPr>
              <w:snapToGrid w:val="0"/>
              <w:spacing w:line="0" w:lineRule="atLeast"/>
              <w:jc w:val="left"/>
              <w:rPr>
                <w:sz w:val="22"/>
                <w:szCs w:val="22"/>
              </w:rPr>
            </w:pPr>
            <w:r>
              <w:rPr>
                <w:rFonts w:hint="eastAsia"/>
                <w:sz w:val="22"/>
                <w:szCs w:val="18"/>
              </w:rPr>
              <w:t>审核组长签字</w:t>
            </w:r>
          </w:p>
        </w:tc>
        <w:tc>
          <w:tcPr>
            <w:tcW w:w="2104" w:type="dxa"/>
          </w:tcPr>
          <w:p>
            <w:pPr>
              <w:snapToGrid w:val="0"/>
              <w:spacing w:line="0" w:lineRule="atLeast"/>
              <w:jc w:val="left"/>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272415</wp:posOffset>
                  </wp:positionH>
                  <wp:positionV relativeFrom="paragraph">
                    <wp:posOffset>143510</wp:posOffset>
                  </wp:positionV>
                  <wp:extent cx="544830" cy="248920"/>
                  <wp:effectExtent l="0" t="0" r="3810" b="1016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3B3B7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1357</Words>
  <Characters>2298</Characters>
  <Lines>18</Lines>
  <Paragraphs>5</Paragraphs>
  <TotalTime>0</TotalTime>
  <ScaleCrop>false</ScaleCrop>
  <LinksUpToDate>false</LinksUpToDate>
  <CharactersWithSpaces>2507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2022-12-20T01:50:26Z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