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1274-2022-QF</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浙江尖峰健康科技有限公司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rFonts w:hint="default" w:eastAsia="宋体"/>
                <w:szCs w:val="21"/>
                <w:lang w:val="en-US" w:eastAsia="zh-CN"/>
              </w:rPr>
            </w:pPr>
            <w:bookmarkStart w:id="8" w:name="审核日期"/>
            <w:r>
              <w:rPr>
                <w:rFonts w:hint="eastAsia" w:ascii="宋体"/>
                <w:b/>
                <w:color w:val="000000"/>
                <w:szCs w:val="21"/>
              </w:rPr>
              <w:t>2023年01月31日 上午</w:t>
            </w:r>
            <w:r>
              <w:rPr>
                <w:rFonts w:hint="eastAsia" w:ascii="宋体"/>
                <w:b/>
                <w:color w:val="000000"/>
                <w:szCs w:val="21"/>
                <w:lang w:val="en-US" w:eastAsia="zh-CN"/>
              </w:rPr>
              <w:t>8：30</w:t>
            </w:r>
            <w:r>
              <w:rPr>
                <w:rFonts w:hint="eastAsia" w:ascii="宋体"/>
                <w:b/>
                <w:color w:val="000000"/>
                <w:szCs w:val="21"/>
              </w:rPr>
              <w:t>至2023年01月31日 下午</w:t>
            </w:r>
            <w:bookmarkEnd w:id="8"/>
            <w:r>
              <w:rPr>
                <w:rFonts w:hint="eastAsia" w:ascii="宋体"/>
                <w:b/>
                <w:color w:val="000000"/>
                <w:szCs w:val="21"/>
                <w:lang w:val="en-US" w:eastAsia="zh-CN"/>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0"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ISO 22000</w:t>
            </w:r>
            <w:r>
              <w:rPr>
                <w:rFonts w:hint="eastAsia" w:ascii="宋体" w:hAnsi="宋体"/>
                <w:b/>
                <w:color w:val="000000"/>
                <w:szCs w:val="21"/>
                <w:lang w:val="de-DE" w:eastAsia="zh-CN"/>
              </w:rPr>
              <w:t>：</w:t>
            </w:r>
            <w:r>
              <w:rPr>
                <w:rFonts w:hint="eastAsia" w:ascii="宋体" w:hAnsi="宋体"/>
                <w:b/>
                <w:color w:val="000000"/>
                <w:szCs w:val="21"/>
                <w:lang w:val="de-DE"/>
              </w:rPr>
              <w:t xml:space="preserve">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rPr>
              <w:sym w:font="Wingdings 2" w:char="0052"/>
            </w:r>
            <w:r>
              <w:rPr>
                <w:rFonts w:hint="eastAsia" w:ascii="宋体"/>
                <w:b/>
                <w:szCs w:val="21"/>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strike/>
                <w:dstrike w:val="0"/>
                <w:color w:val="0000FF"/>
                <w:szCs w:val="21"/>
              </w:rPr>
            </w:pPr>
            <w:r>
              <w:rPr>
                <w:rFonts w:hint="eastAsia" w:cs="Arial"/>
                <w:b/>
                <w:bCs/>
                <w:strike/>
                <w:dstrike w:val="0"/>
                <w:color w:val="0000FF"/>
                <w:szCs w:val="21"/>
              </w:rPr>
              <w:t>审核地址（含远程）</w:t>
            </w:r>
          </w:p>
        </w:tc>
        <w:tc>
          <w:tcPr>
            <w:tcW w:w="7431" w:type="dxa"/>
            <w:tcMar>
              <w:left w:w="113" w:type="dxa"/>
            </w:tcMar>
          </w:tcPr>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strike/>
                <w:dstrike w:val="0"/>
                <w:color w:val="0000FF"/>
                <w:szCs w:val="21"/>
              </w:rPr>
            </w:pPr>
            <w:r>
              <w:rPr>
                <w:rFonts w:hint="eastAsia" w:ascii="宋体"/>
                <w:b/>
                <w:strike/>
                <w:dstrike w:val="0"/>
                <w:color w:val="0000FF"/>
                <w:szCs w:val="21"/>
              </w:rPr>
              <w:t>远程审核方式</w:t>
            </w:r>
          </w:p>
        </w:tc>
        <w:tc>
          <w:tcPr>
            <w:tcW w:w="7431" w:type="dxa"/>
            <w:tcMar>
              <w:left w:w="113" w:type="dxa"/>
            </w:tcMar>
            <w:vAlign w:val="bottom"/>
          </w:tcPr>
          <w:p>
            <w:pPr>
              <w:rPr>
                <w:rFonts w:ascii="宋体"/>
                <w:b/>
                <w:strike/>
                <w:dstrike w:val="0"/>
                <w:color w:val="0000FF"/>
                <w:szCs w:val="21"/>
              </w:rPr>
            </w:pPr>
            <w:r>
              <w:rPr>
                <w:rFonts w:hint="eastAsia" w:ascii="宋体"/>
                <w:b/>
                <w:strike/>
                <w:dstrike w:val="0"/>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strike/>
                <w:dstrike w:val="0"/>
                <w:color w:val="0000FF"/>
                <w:szCs w:val="21"/>
              </w:rPr>
            </w:pPr>
            <w:r>
              <w:rPr>
                <w:rFonts w:hint="eastAsia" w:ascii="宋体"/>
                <w:b/>
                <w:strike/>
                <w:dstrike w:val="0"/>
                <w:color w:val="0000FF"/>
                <w:szCs w:val="21"/>
              </w:rPr>
              <w:t>信息安全的控制</w:t>
            </w:r>
          </w:p>
        </w:tc>
        <w:tc>
          <w:tcPr>
            <w:tcW w:w="7431" w:type="dxa"/>
            <w:tcMar>
              <w:left w:w="113" w:type="dxa"/>
            </w:tcMar>
            <w:vAlign w:val="bottom"/>
          </w:tcPr>
          <w:p>
            <w:pPr>
              <w:rPr>
                <w:rFonts w:ascii="宋体"/>
                <w:b/>
                <w:strike/>
                <w:dstrike w:val="0"/>
                <w:color w:val="0000FF"/>
                <w:szCs w:val="21"/>
              </w:rPr>
            </w:pPr>
            <w:r>
              <w:rPr>
                <w:rFonts w:hint="eastAsia" w:ascii="宋体"/>
                <w:b/>
                <w:strike/>
                <w:dstrike w:val="0"/>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strike/>
                <w:dstrike w:val="0"/>
                <w:color w:val="0000FF"/>
                <w:szCs w:val="21"/>
              </w:rPr>
            </w:pPr>
            <w:r>
              <w:rPr>
                <w:rFonts w:hint="eastAsia" w:ascii="宋体"/>
                <w:b/>
                <w:strike/>
                <w:dstrike w:val="0"/>
                <w:color w:val="0000FF"/>
                <w:szCs w:val="21"/>
              </w:rPr>
              <w:t>远程审核资源</w:t>
            </w:r>
          </w:p>
        </w:tc>
        <w:tc>
          <w:tcPr>
            <w:tcW w:w="7431" w:type="dxa"/>
            <w:tcMar>
              <w:left w:w="113" w:type="dxa"/>
            </w:tcMar>
            <w:vAlign w:val="bottom"/>
          </w:tcPr>
          <w:p>
            <w:pPr>
              <w:rPr>
                <w:rFonts w:ascii="宋体"/>
                <w:b/>
                <w:strike/>
                <w:dstrike w:val="0"/>
                <w:color w:val="0000FF"/>
                <w:szCs w:val="21"/>
              </w:rPr>
            </w:pPr>
            <w:r>
              <w:rPr>
                <w:rFonts w:hint="eastAsia" w:ascii="宋体"/>
                <w:b/>
                <w:strike/>
                <w:dstrike w:val="0"/>
                <w:color w:val="0000FF"/>
                <w:szCs w:val="21"/>
              </w:rPr>
              <w:t>□网络□智能手机□手持设备□笔记本电脑□台式电脑□无人机□摄像机□可穿戴技术□人工智能□其他</w:t>
            </w: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肖新龙</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2020-N1QMS-1232380</w:t>
            </w:r>
          </w:p>
          <w:p>
            <w:pPr>
              <w:spacing w:line="240" w:lineRule="exact"/>
              <w:jc w:val="center"/>
              <w:rPr>
                <w:b/>
                <w:color w:val="000000"/>
                <w:szCs w:val="21"/>
              </w:rPr>
            </w:pPr>
            <w:r>
              <w:rPr>
                <w:b/>
                <w:color w:val="000000"/>
                <w:szCs w:val="21"/>
              </w:rPr>
              <w:t>2020-N1FSMS-1232380</w:t>
            </w:r>
          </w:p>
        </w:tc>
        <w:tc>
          <w:tcPr>
            <w:tcW w:w="1140" w:type="dxa"/>
            <w:vAlign w:val="center"/>
          </w:tcPr>
          <w:p>
            <w:pPr>
              <w:spacing w:line="240" w:lineRule="exact"/>
              <w:jc w:val="center"/>
              <w:rPr>
                <w:b/>
                <w:color w:val="000000"/>
                <w:szCs w:val="21"/>
              </w:rPr>
            </w:pPr>
            <w:r>
              <w:rPr>
                <w:b/>
                <w:color w:val="000000"/>
                <w:szCs w:val="21"/>
              </w:rPr>
              <w:t>Q:03.08.03,03.08.06,03.10.07</w:t>
            </w:r>
          </w:p>
          <w:p>
            <w:pPr>
              <w:spacing w:line="240" w:lineRule="exact"/>
              <w:jc w:val="center"/>
              <w:rPr>
                <w:b/>
                <w:color w:val="000000"/>
                <w:szCs w:val="21"/>
              </w:rPr>
            </w:pPr>
            <w:r>
              <w:rPr>
                <w:b/>
                <w:color w:val="000000"/>
                <w:szCs w:val="21"/>
              </w:rPr>
              <w:t>F:CIV-14,CIV-4</w:t>
            </w:r>
          </w:p>
        </w:tc>
        <w:tc>
          <w:tcPr>
            <w:tcW w:w="1088" w:type="dxa"/>
            <w:vAlign w:val="center"/>
          </w:tcPr>
          <w:p>
            <w:pPr>
              <w:spacing w:line="240" w:lineRule="exact"/>
              <w:jc w:val="center"/>
              <w:rPr>
                <w:rFonts w:hint="eastAsia" w:eastAsia="宋体"/>
                <w:szCs w:val="21"/>
                <w:lang w:eastAsia="zh-CN"/>
              </w:rPr>
            </w:pP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任泽华</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2022-N1QMS-4059498</w:t>
            </w:r>
          </w:p>
          <w:p>
            <w:pPr>
              <w:spacing w:line="240" w:lineRule="exact"/>
              <w:jc w:val="center"/>
              <w:rPr>
                <w:b/>
                <w:color w:val="000000"/>
                <w:szCs w:val="21"/>
              </w:rPr>
            </w:pPr>
            <w:r>
              <w:rPr>
                <w:b/>
                <w:color w:val="000000"/>
                <w:szCs w:val="21"/>
              </w:rPr>
              <w:t>2020-N1FSMS-3059498</w:t>
            </w:r>
          </w:p>
        </w:tc>
        <w:tc>
          <w:tcPr>
            <w:tcW w:w="1140" w:type="dxa"/>
            <w:vAlign w:val="center"/>
          </w:tcPr>
          <w:p>
            <w:pPr>
              <w:spacing w:line="240" w:lineRule="exact"/>
              <w:jc w:val="center"/>
              <w:rPr>
                <w:b/>
                <w:color w:val="000000"/>
                <w:szCs w:val="21"/>
              </w:rPr>
            </w:pPr>
            <w:r>
              <w:rPr>
                <w:b/>
                <w:color w:val="000000"/>
                <w:szCs w:val="21"/>
              </w:rPr>
              <w:t>Q:03.08.03,03.10.07</w:t>
            </w:r>
          </w:p>
          <w:p>
            <w:pPr>
              <w:spacing w:line="240" w:lineRule="exact"/>
              <w:jc w:val="center"/>
              <w:rPr>
                <w:b/>
                <w:color w:val="000000"/>
                <w:szCs w:val="21"/>
              </w:rPr>
            </w:pPr>
            <w:r>
              <w:rPr>
                <w:b/>
                <w:color w:val="000000"/>
                <w:szCs w:val="21"/>
              </w:rPr>
              <w:t>F:CIV-4</w:t>
            </w:r>
          </w:p>
        </w:tc>
        <w:tc>
          <w:tcPr>
            <w:tcW w:w="1088" w:type="dxa"/>
            <w:vAlign w:val="center"/>
          </w:tcPr>
          <w:p>
            <w:pPr>
              <w:spacing w:line="240" w:lineRule="exact"/>
              <w:jc w:val="center"/>
              <w:rPr>
                <w:rFonts w:hint="eastAsia" w:eastAsia="宋体"/>
                <w:szCs w:val="21"/>
                <w:lang w:eastAsia="zh-CN"/>
              </w:rPr>
            </w:pP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eastAsia="zh-CN"/>
              </w:rPr>
            </w:pPr>
            <w:r>
              <w:rPr>
                <w:rFonts w:hint="eastAsia"/>
                <w:b/>
                <w:color w:val="000000"/>
                <w:szCs w:val="21"/>
                <w:lang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浙江尖峰健康科技有限公司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浙江省金华市婺城区婺城新城区临江工业园西溪街96号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321000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浙江省金华市婺城新城区临江工业园西溪街96号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321000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陆国胜</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18158378070</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蒋晓萌</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陆国胜</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sz w:val="20"/>
                <w:szCs w:val="20"/>
              </w:rPr>
              <w:t>固体饮料（其他固体饮料：红景天提取物、蔓越莓提取物）、</w:t>
            </w:r>
            <w:r>
              <w:rPr>
                <w:sz w:val="20"/>
                <w:szCs w:val="20"/>
                <w:highlight w:val="none"/>
                <w:shd w:val="clear"/>
              </w:rPr>
              <w:t>保健食品原料提取物（银杏叶提取物）</w:t>
            </w:r>
            <w:r>
              <w:rPr>
                <w:sz w:val="20"/>
                <w:szCs w:val="20"/>
              </w:rPr>
              <w:t>、保健食品（尖峰仁寿堂牌破壁灵芝孢子粉（粉剂））、其他饮料（植物饮料）的生产</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hint="eastAsia" w:ascii="宋体" w:hAnsi="宋体" w:eastAsia="宋体"/>
                <w:b/>
                <w:color w:val="000000"/>
                <w:szCs w:val="21"/>
                <w:lang w:eastAsia="zh-CN"/>
              </w:rPr>
            </w:pPr>
            <w:r>
              <w:rPr>
                <w:rFonts w:hint="eastAsia" w:ascii="宋体" w:hAnsi="宋体"/>
                <w:b/>
                <w:color w:val="000000"/>
                <w:szCs w:val="21"/>
              </w:rPr>
              <w:t>服务：</w:t>
            </w:r>
            <w:r>
              <w:rPr>
                <w:rFonts w:hint="eastAsia" w:ascii="宋体" w:hAnsi="宋体"/>
                <w:b/>
                <w:color w:val="000000"/>
                <w:szCs w:val="21"/>
                <w:lang w:eastAsia="zh-CN"/>
              </w:rPr>
              <w:t>——</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hint="eastAsia"/>
                <w:color w:val="000000"/>
                <w:highlight w:val="lightGray"/>
              </w:rPr>
            </w:pPr>
            <w:r>
              <w:rPr>
                <w:rFonts w:hint="eastAsia"/>
                <w:color w:val="000000"/>
                <w:highlight w:val="lightGray"/>
              </w:rPr>
              <w:t>固体饮料（其他固体饮料）：</w:t>
            </w:r>
          </w:p>
          <w:p>
            <w:pPr>
              <w:rPr>
                <w:rFonts w:hint="eastAsia"/>
                <w:color w:val="000000"/>
              </w:rPr>
            </w:pPr>
            <w:r>
              <w:rPr>
                <w:rFonts w:hint="eastAsia"/>
                <w:color w:val="000000"/>
              </w:rPr>
              <w:t>蔓越莓提取物：原辅料验收=&gt;提取=&gt;过滤=&gt;浓缩=&gt;灭菌=&gt;喷雾干燥=&gt;总混=&gt;内包=&gt;金探=&gt;外包=&gt;成品入库。</w:t>
            </w:r>
          </w:p>
          <w:p>
            <w:pPr>
              <w:rPr>
                <w:rFonts w:hint="eastAsia"/>
                <w:color w:val="000000"/>
                <w:highlight w:val="lightGray"/>
              </w:rPr>
            </w:pPr>
            <w:r>
              <w:rPr>
                <w:rFonts w:hint="eastAsia"/>
                <w:color w:val="000000"/>
                <w:highlight w:val="lightGray"/>
              </w:rPr>
              <w:t>固体饮料（其他固体饮料）：</w:t>
            </w:r>
          </w:p>
          <w:p>
            <w:pPr>
              <w:rPr>
                <w:rFonts w:hint="eastAsia"/>
                <w:color w:val="000000"/>
              </w:rPr>
            </w:pPr>
            <w:r>
              <w:rPr>
                <w:rFonts w:hint="eastAsia"/>
                <w:color w:val="000000"/>
              </w:rPr>
              <w:t>红景天提取物：原辅料验收=&gt;提取=&gt;过滤=&gt;浓缩=&gt;灭菌=&gt;喷雾干燥=&gt;过筛=&gt;混合=&gt;内包=&gt;金探=&gt;外包=&gt;成品入库。</w:t>
            </w:r>
          </w:p>
          <w:p>
            <w:pPr>
              <w:rPr>
                <w:rFonts w:hint="eastAsia"/>
                <w:color w:val="000000"/>
              </w:rPr>
            </w:pPr>
          </w:p>
          <w:p>
            <w:pPr>
              <w:rPr>
                <w:rFonts w:hint="eastAsia"/>
                <w:color w:val="000000"/>
                <w:highlight w:val="lightGray"/>
              </w:rPr>
            </w:pPr>
            <w:r>
              <w:rPr>
                <w:rFonts w:hint="eastAsia"/>
                <w:color w:val="000000"/>
                <w:highlight w:val="lightGray"/>
              </w:rPr>
              <w:t>保健食品原料提取物：</w:t>
            </w:r>
          </w:p>
          <w:p>
            <w:pPr>
              <w:rPr>
                <w:rFonts w:hint="eastAsia"/>
                <w:color w:val="000000"/>
              </w:rPr>
            </w:pPr>
            <w:r>
              <w:rPr>
                <w:rFonts w:hint="eastAsia"/>
                <w:color w:val="000000"/>
              </w:rPr>
              <w:t>银杏叶提取物：原辅料验收=&gt;提取=&gt;浓缩（赶醇）=&gt;柱层析=&gt;浓缩=&gt;灭菌=&gt;喷雾干燥=&gt;过筛=&gt;总混=&gt;内包=&gt;金探=&gt;外包=&gt;成品入库。</w:t>
            </w:r>
          </w:p>
          <w:p>
            <w:pPr>
              <w:rPr>
                <w:rFonts w:hint="eastAsia"/>
                <w:color w:val="000000"/>
              </w:rPr>
            </w:pPr>
          </w:p>
          <w:p>
            <w:pPr>
              <w:rPr>
                <w:rFonts w:hint="eastAsia"/>
                <w:color w:val="000000"/>
              </w:rPr>
            </w:pPr>
            <w:r>
              <w:rPr>
                <w:rFonts w:hint="eastAsia"/>
                <w:color w:val="000000"/>
                <w:highlight w:val="lightGray"/>
              </w:rPr>
              <w:t>保健食品（尖峰仁寿堂牌破壁灵芝孢子粉（粉剂））：</w:t>
            </w:r>
          </w:p>
          <w:p>
            <w:pPr>
              <w:rPr>
                <w:rFonts w:hint="eastAsia"/>
                <w:color w:val="000000"/>
              </w:rPr>
            </w:pPr>
            <w:r>
              <w:rPr>
                <w:rFonts w:hint="eastAsia"/>
                <w:color w:val="000000"/>
              </w:rPr>
              <w:t>原料验收=&gt;脱包=&gt;内包（分装）=&gt;成品入库</w:t>
            </w:r>
          </w:p>
          <w:p>
            <w:pPr>
              <w:rPr>
                <w:rFonts w:hint="eastAsia"/>
                <w:color w:val="000000"/>
              </w:rPr>
            </w:pPr>
          </w:p>
          <w:p>
            <w:pPr>
              <w:snapToGrid w:val="0"/>
              <w:spacing w:line="280" w:lineRule="exact"/>
              <w:rPr>
                <w:rFonts w:hint="eastAsia"/>
                <w:b/>
                <w:sz w:val="20"/>
                <w:highlight w:val="lightGray"/>
                <w:lang w:val="en-US" w:eastAsia="zh-CN"/>
              </w:rPr>
            </w:pPr>
            <w:r>
              <w:rPr>
                <w:rFonts w:hint="eastAsia"/>
                <w:b/>
                <w:sz w:val="20"/>
                <w:highlight w:val="lightGray"/>
                <w:lang w:val="en-US" w:eastAsia="zh-CN"/>
              </w:rPr>
              <w:t>植物饮料，以EGCG&amp;N-乙酰神经氨酸液态饮为例；</w:t>
            </w:r>
          </w:p>
          <w:p>
            <w:pPr>
              <w:snapToGrid w:val="0"/>
              <w:spacing w:line="280" w:lineRule="exact"/>
              <w:rPr>
                <w:rFonts w:hint="eastAsia"/>
                <w:color w:val="0000FF"/>
                <w:sz w:val="21"/>
                <w:szCs w:val="21"/>
                <w:lang w:val="en-US" w:eastAsia="zh-CN"/>
              </w:rPr>
            </w:pPr>
            <w:r>
              <w:rPr>
                <w:rFonts w:hint="eastAsia"/>
                <w:color w:val="0000FF"/>
                <w:sz w:val="21"/>
                <w:szCs w:val="21"/>
                <w:lang w:val="en-US" w:eastAsia="zh-CN"/>
              </w:rPr>
              <w:t>领料</w:t>
            </w:r>
            <w:r>
              <w:rPr>
                <w:rFonts w:hint="eastAsia"/>
                <w:color w:val="000000"/>
              </w:rPr>
              <w:t>=&gt;</w:t>
            </w:r>
            <w:r>
              <w:rPr>
                <w:rFonts w:hint="eastAsia"/>
                <w:color w:val="0000FF"/>
                <w:sz w:val="21"/>
                <w:szCs w:val="21"/>
                <w:lang w:val="en-US" w:eastAsia="zh-CN"/>
              </w:rPr>
              <w:t>称量</w:t>
            </w:r>
            <w:r>
              <w:rPr>
                <w:rFonts w:hint="eastAsia"/>
                <w:color w:val="000000"/>
              </w:rPr>
              <w:t>=&gt;</w:t>
            </w:r>
            <w:r>
              <w:rPr>
                <w:rFonts w:hint="eastAsia"/>
                <w:color w:val="0000FF"/>
                <w:sz w:val="21"/>
                <w:szCs w:val="21"/>
                <w:lang w:val="en-US" w:eastAsia="zh-CN"/>
              </w:rPr>
              <w:t>配料</w:t>
            </w:r>
            <w:r>
              <w:rPr>
                <w:rFonts w:hint="eastAsia"/>
                <w:color w:val="000000"/>
              </w:rPr>
              <w:t>=&gt;</w:t>
            </w:r>
            <w:r>
              <w:rPr>
                <w:rFonts w:hint="eastAsia"/>
                <w:color w:val="0000FF"/>
                <w:sz w:val="21"/>
                <w:szCs w:val="21"/>
                <w:lang w:val="en-US" w:eastAsia="zh-CN"/>
              </w:rPr>
              <w:t>洗瓶/灌装</w:t>
            </w:r>
            <w:r>
              <w:rPr>
                <w:rFonts w:hint="eastAsia"/>
                <w:color w:val="000000"/>
              </w:rPr>
              <w:t>=&gt;</w:t>
            </w:r>
            <w:r>
              <w:rPr>
                <w:rFonts w:hint="eastAsia"/>
                <w:color w:val="0000FF"/>
                <w:sz w:val="21"/>
                <w:szCs w:val="21"/>
                <w:lang w:val="en-US" w:eastAsia="zh-CN"/>
              </w:rPr>
              <w:t>灭菌</w:t>
            </w:r>
            <w:r>
              <w:rPr>
                <w:rFonts w:hint="eastAsia"/>
                <w:color w:val="000000"/>
              </w:rPr>
              <w:t>=&gt;</w:t>
            </w:r>
            <w:r>
              <w:rPr>
                <w:rFonts w:hint="eastAsia"/>
                <w:color w:val="0000FF"/>
                <w:sz w:val="21"/>
                <w:szCs w:val="21"/>
                <w:lang w:val="en-US" w:eastAsia="zh-CN"/>
              </w:rPr>
              <w:t>外包装</w:t>
            </w:r>
            <w:r>
              <w:rPr>
                <w:rFonts w:hint="eastAsia"/>
                <w:color w:val="000000"/>
              </w:rPr>
              <w:t>=&gt;</w:t>
            </w:r>
            <w:r>
              <w:rPr>
                <w:rFonts w:hint="eastAsia"/>
                <w:color w:val="0000FF"/>
                <w:sz w:val="21"/>
                <w:szCs w:val="21"/>
                <w:lang w:val="en-US" w:eastAsia="zh-CN"/>
              </w:rPr>
              <w:t>成品入库</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sz w:val="20"/>
                <w:szCs w:val="20"/>
              </w:rPr>
              <w:t>固体饮料（其他固体饮料：红景天提取物、蔓越莓提取物）、</w:t>
            </w:r>
            <w:r>
              <w:rPr>
                <w:sz w:val="20"/>
                <w:szCs w:val="20"/>
                <w:highlight w:val="none"/>
                <w:shd w:val="clear"/>
              </w:rPr>
              <w:t>保健食品原料提取物（银杏叶提取物）</w:t>
            </w:r>
            <w:r>
              <w:rPr>
                <w:sz w:val="20"/>
                <w:szCs w:val="20"/>
              </w:rPr>
              <w:t>、保健食品（尖峰仁寿堂牌破壁灵芝孢子粉（粉剂））、其他饮料（植物饮料）的生产</w:t>
            </w:r>
          </w:p>
        </w:tc>
        <w:tc>
          <w:tcPr>
            <w:tcW w:w="2006" w:type="dxa"/>
            <w:gridSpan w:val="3"/>
            <w:vAlign w:val="center"/>
          </w:tcPr>
          <w:p>
            <w:pPr>
              <w:jc w:val="left"/>
              <w:rPr>
                <w:sz w:val="20"/>
              </w:rPr>
            </w:pPr>
            <w:bookmarkStart w:id="35" w:name="专业代码"/>
            <w:r>
              <w:rPr>
                <w:sz w:val="20"/>
              </w:rPr>
              <w:t>Q：03.08.03;03.08.06;03.10.07</w:t>
            </w:r>
          </w:p>
          <w:bookmarkEnd w:id="35"/>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r>
              <w:rPr>
                <w:rFonts w:hint="eastAsia"/>
                <w:sz w:val="21"/>
                <w:szCs w:val="21"/>
                <w:highlight w:val="none"/>
                <w:lang w:val="en-US" w:eastAsia="zh-CN"/>
              </w:rPr>
              <w:t>位于</w:t>
            </w:r>
            <w:r>
              <w:rPr>
                <w:rFonts w:hint="eastAsia"/>
                <w:sz w:val="21"/>
                <w:szCs w:val="21"/>
                <w:highlight w:val="none"/>
              </w:rPr>
              <w:t>浙江省金华市婺城新城区临江工业园西溪街96号浙江尖峰健康科技有限公司</w:t>
            </w:r>
            <w:r>
              <w:rPr>
                <w:rFonts w:hint="eastAsia"/>
                <w:sz w:val="21"/>
                <w:szCs w:val="21"/>
                <w:highlight w:val="none"/>
                <w:lang w:val="en-US" w:eastAsia="zh-CN"/>
              </w:rPr>
              <w:t>生产车间的</w:t>
            </w:r>
            <w:r>
              <w:rPr>
                <w:sz w:val="20"/>
                <w:szCs w:val="20"/>
                <w:highlight w:val="none"/>
              </w:rPr>
              <w:t>固体饮料（其他固体饮料：红景天提取物、蔓越莓提取物）、保健食品原料提取物（银杏叶提取物）</w:t>
            </w:r>
            <w:r>
              <w:rPr>
                <w:sz w:val="20"/>
                <w:szCs w:val="20"/>
              </w:rPr>
              <w:t>、保健食品（尖峰仁寿堂牌破壁灵芝孢子粉（粉剂））、其他饮料（植物饮料）的生产</w:t>
            </w:r>
          </w:p>
        </w:tc>
        <w:tc>
          <w:tcPr>
            <w:tcW w:w="2006" w:type="dxa"/>
            <w:gridSpan w:val="3"/>
            <w:vAlign w:val="center"/>
          </w:tcPr>
          <w:p>
            <w:pPr>
              <w:spacing w:line="400" w:lineRule="exact"/>
              <w:rPr>
                <w:rFonts w:ascii="宋体" w:hAnsi="宋体"/>
                <w:b/>
                <w:color w:val="000000"/>
                <w:szCs w:val="21"/>
              </w:rPr>
            </w:pPr>
            <w:r>
              <w:rPr>
                <w:sz w:val="20"/>
              </w:rPr>
              <w:t>F：CIV-14;CIV-4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hint="default" w:ascii="宋体" w:eastAsia="宋体"/>
                <w:color w:val="000000"/>
                <w:spacing w:val="-10"/>
                <w:szCs w:val="21"/>
                <w:lang w:val="en-US" w:eastAsia="zh-CN"/>
              </w:rPr>
            </w:pPr>
            <w:r>
              <w:rPr>
                <w:rFonts w:hint="eastAsia" w:ascii="宋体"/>
                <w:color w:val="000000"/>
                <w:szCs w:val="21"/>
              </w:rPr>
              <w:t>如不一致，请简述不一致情况：</w:t>
            </w:r>
            <w:r>
              <w:rPr>
                <w:rFonts w:hint="eastAsia" w:ascii="宋体"/>
                <w:color w:val="000000"/>
                <w:szCs w:val="21"/>
                <w:lang w:eastAsia="zh-CN"/>
              </w:rPr>
              <w:t>——</w:t>
            </w:r>
            <w:r>
              <w:rPr>
                <w:rFonts w:hint="eastAsia" w:ascii="宋体"/>
                <w:color w:val="00000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default" w:eastAsia="宋体"/>
                <w:lang w:val="en-US" w:eastAsia="zh-CN"/>
              </w:rPr>
            </w:pPr>
            <w:r>
              <w:rPr>
                <w:rFonts w:hint="eastAsia"/>
                <w:lang w:val="en-US" w:eastAsia="zh-CN"/>
              </w:rPr>
              <w:t>浙江尖峰健康科技有限公司</w:t>
            </w:r>
          </w:p>
          <w:p>
            <w:pPr>
              <w:pStyle w:val="2"/>
              <w:rPr>
                <w:lang w:val="de-DE" w:eastAsia="ja-JP"/>
              </w:rPr>
            </w:pPr>
            <w:r>
              <w:rPr>
                <w:rFonts w:hint="eastAsia"/>
                <w:color w:val="0000FF"/>
                <w:u w:val="single"/>
              </w:rPr>
              <w:t>浙江省金华市婺城区婺城新城区临江工业园西溪街96号</w:t>
            </w:r>
          </w:p>
        </w:tc>
        <w:tc>
          <w:tcPr>
            <w:tcW w:w="2267" w:type="dxa"/>
          </w:tcPr>
          <w:p>
            <w:pPr>
              <w:spacing w:before="40" w:after="40"/>
              <w:rPr>
                <w:rFonts w:eastAsia="黑体"/>
                <w:szCs w:val="21"/>
                <w:lang w:val="de-DE" w:eastAsia="ja-JP"/>
              </w:rPr>
            </w:pPr>
            <w:r>
              <w:rPr>
                <w:rFonts w:asciiTheme="minorEastAsia" w:hAnsiTheme="minorEastAsia" w:eastAsiaTheme="minorEastAsia"/>
                <w:sz w:val="20"/>
              </w:rPr>
              <w:t>浙江省金华市婺城新城区临江工业园西溪街96号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66</w:t>
            </w:r>
          </w:p>
        </w:tc>
        <w:tc>
          <w:tcPr>
            <w:tcW w:w="2803" w:type="dxa"/>
            <w:vAlign w:val="center"/>
          </w:tcPr>
          <w:p>
            <w:pPr>
              <w:spacing w:line="240" w:lineRule="auto"/>
              <w:rPr>
                <w:rFonts w:hint="default"/>
                <w:color w:val="0000FF"/>
                <w:szCs w:val="21"/>
                <w:highlight w:val="cyan"/>
                <w:u w:val="single"/>
                <w:lang w:val="en-US" w:eastAsia="zh-CN"/>
              </w:rPr>
            </w:pPr>
            <w:r>
              <w:rPr>
                <w:rFonts w:hint="eastAsia"/>
                <w:sz w:val="20"/>
                <w:szCs w:val="20"/>
                <w:lang w:val="en-US" w:eastAsia="zh-CN"/>
              </w:rPr>
              <w:t>Q：</w:t>
            </w:r>
            <w:r>
              <w:rPr>
                <w:sz w:val="20"/>
                <w:szCs w:val="20"/>
              </w:rPr>
              <w:t>固体饮料（其他固体饮料：红景天提取物、蔓越莓提取物）、</w:t>
            </w:r>
            <w:r>
              <w:rPr>
                <w:sz w:val="20"/>
                <w:szCs w:val="20"/>
                <w:highlight w:val="none"/>
                <w:shd w:val="clear"/>
              </w:rPr>
              <w:t>保健食品原料提取物（银杏叶提取物）</w:t>
            </w:r>
            <w:r>
              <w:rPr>
                <w:sz w:val="20"/>
                <w:szCs w:val="20"/>
              </w:rPr>
              <w:t>、保健食品（尖峰仁寿堂牌破壁灵芝孢子粉（粉剂））、其他饮料（植物饮料）的生产</w:t>
            </w:r>
          </w:p>
          <w:p>
            <w:pPr>
              <w:spacing w:line="440" w:lineRule="exact"/>
              <w:rPr>
                <w:rFonts w:hint="eastAsia"/>
                <w:sz w:val="21"/>
                <w:szCs w:val="21"/>
                <w:highlight w:val="yellow"/>
                <w:lang w:val="en-US" w:eastAsia="zh-CN"/>
              </w:rPr>
            </w:pPr>
          </w:p>
          <w:p>
            <w:pPr>
              <w:pStyle w:val="21"/>
              <w:rPr>
                <w:rFonts w:eastAsia="黑体" w:cs="Arial"/>
                <w:sz w:val="21"/>
                <w:szCs w:val="21"/>
                <w:lang w:val="en-US" w:eastAsia="ja-JP"/>
              </w:rPr>
            </w:pPr>
            <w:r>
              <w:rPr>
                <w:rFonts w:hint="eastAsia"/>
                <w:sz w:val="21"/>
                <w:szCs w:val="21"/>
                <w:highlight w:val="none"/>
                <w:lang w:val="en-US" w:eastAsia="zh-CN"/>
              </w:rPr>
              <w:t>FSMS：位于</w:t>
            </w:r>
            <w:r>
              <w:rPr>
                <w:rFonts w:hint="eastAsia"/>
                <w:sz w:val="21"/>
                <w:szCs w:val="21"/>
                <w:highlight w:val="none"/>
              </w:rPr>
              <w:t>浙江省金华市婺城新城区临江工业园西溪街96号浙江尖峰健康科技有限公司</w:t>
            </w:r>
            <w:r>
              <w:rPr>
                <w:rFonts w:hint="eastAsia"/>
                <w:sz w:val="21"/>
                <w:szCs w:val="21"/>
                <w:highlight w:val="none"/>
                <w:lang w:val="en-US" w:eastAsia="zh-CN"/>
              </w:rPr>
              <w:t>生产车间的</w:t>
            </w:r>
            <w:r>
              <w:rPr>
                <w:sz w:val="20"/>
                <w:szCs w:val="20"/>
                <w:highlight w:val="none"/>
              </w:rPr>
              <w:t>固体饮料（其他固体饮料：红景天提取物、蔓越莓提取物）、保健食品原料提取物（银杏叶提取物）</w:t>
            </w:r>
            <w:r>
              <w:rPr>
                <w:sz w:val="20"/>
                <w:szCs w:val="20"/>
              </w:rPr>
              <w:t>、保健食品（尖峰仁寿堂牌破壁灵芝孢子粉（粉剂））、其他饮料（植物饮料）的生产</w:t>
            </w:r>
          </w:p>
        </w:tc>
        <w:tc>
          <w:tcPr>
            <w:tcW w:w="669" w:type="dxa"/>
            <w:vAlign w:val="center"/>
          </w:tcPr>
          <w:p>
            <w:pPr>
              <w:spacing w:before="40" w:after="40"/>
              <w:rPr>
                <w:rFonts w:hint="default" w:eastAsia="黑体"/>
                <w:szCs w:val="21"/>
                <w:lang w:val="en-US" w:eastAsia="zh-CN"/>
              </w:rPr>
            </w:pPr>
            <w:r>
              <w:rPr>
                <w:rFonts w:hint="eastAsia" w:eastAsia="黑体"/>
                <w:szCs w:val="21"/>
                <w:lang w:val="en-US" w:eastAsia="zh-CN"/>
              </w:rPr>
              <w:t>见审核准则</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hint="default" w:ascii="宋体" w:hAnsi="宋体" w:eastAsia="宋体"/>
          <w:b/>
          <w:color w:val="000000"/>
          <w:spacing w:val="-8"/>
          <w:szCs w:val="21"/>
          <w:lang w:val="en-US" w:eastAsia="zh-CN"/>
        </w:rPr>
      </w:pPr>
      <w:r>
        <w:rPr>
          <w:rFonts w:hint="eastAsia" w:ascii="宋体" w:hAnsi="宋体"/>
          <w:b/>
          <w:color w:val="000000"/>
          <w:spacing w:val="-8"/>
          <w:szCs w:val="21"/>
          <w:lang w:val="en-US" w:eastAsia="zh-CN"/>
        </w:rPr>
        <w:t>一阶段审核期间 经营地址、范围发生变更，见变更单</w:t>
      </w: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color w:val="000000"/>
                <w:sz w:val="21"/>
                <w:szCs w:val="21"/>
              </w:rPr>
              <w:sym w:font="Wingdings 2" w:char="0052"/>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color w:val="000000"/>
                <w:sz w:val="21"/>
                <w:szCs w:val="21"/>
              </w:rPr>
              <w:sym w:font="Wingdings 2" w:char="00A3"/>
            </w:r>
            <w:r>
              <w:rPr>
                <w:rFonts w:hint="eastAsia" w:ascii="宋体"/>
                <w:b w:val="0"/>
                <w:bCs/>
                <w:color w:val="000000"/>
                <w:sz w:val="21"/>
                <w:szCs w:val="21"/>
                <w:lang w:val="en-US" w:eastAsia="zh-CN"/>
              </w:rPr>
              <w:t>经营/</w:t>
            </w:r>
            <w:r>
              <w:rPr>
                <w:rFonts w:hint="eastAsia" w:ascii="Wingdings" w:hAnsi="Wingdings"/>
                <w:color w:val="000000"/>
                <w:sz w:val="21"/>
                <w:szCs w:val="21"/>
              </w:rPr>
              <w:sym w:font="Wingdings 2" w:char="00A3"/>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strike/>
                <w:dstrike w:val="0"/>
                <w:color w:val="000000"/>
                <w:spacing w:val="-10"/>
                <w:szCs w:val="21"/>
              </w:rPr>
            </w:pPr>
            <w:r>
              <w:rPr>
                <w:rFonts w:hint="eastAsia" w:ascii="宋体" w:hAnsi="宋体"/>
                <w:strike/>
                <w:dstrike w:val="0"/>
                <w:color w:val="000000"/>
                <w:spacing w:val="-10"/>
                <w:szCs w:val="21"/>
              </w:rPr>
              <w:t>质量管理体系覆盖了</w:t>
            </w:r>
            <w:r>
              <w:rPr>
                <w:strike/>
                <w:dstrike w:val="0"/>
              </w:rPr>
              <w:t>多场所</w:t>
            </w:r>
            <w:r>
              <w:rPr>
                <w:rFonts w:hint="eastAsia"/>
                <w:strike/>
                <w:dstrike w:val="0"/>
              </w:rPr>
              <w:t>/临时场</w:t>
            </w:r>
            <w:r>
              <w:rPr>
                <w:strike/>
                <w:dstrike w:val="0"/>
              </w:rPr>
              <w:t>的</w:t>
            </w:r>
            <w:r>
              <w:rPr>
                <w:rFonts w:hint="eastAsia"/>
                <w:strike/>
                <w:dstrike w:val="0"/>
              </w:rPr>
              <w:t>运行控制</w:t>
            </w:r>
            <w:r>
              <w:rPr>
                <w:strike/>
                <w:dstrike w:val="0"/>
              </w:rPr>
              <w:t>（</w:t>
            </w:r>
            <w:r>
              <w:rPr>
                <w:rFonts w:hint="eastAsia"/>
                <w:strike/>
                <w:dstrike w:val="0"/>
              </w:rPr>
              <w:t>适用</w:t>
            </w:r>
            <w:r>
              <w:rPr>
                <w:strike/>
                <w:dstrike w:val="0"/>
              </w:rPr>
              <w:t>时）</w:t>
            </w:r>
          </w:p>
        </w:tc>
        <w:tc>
          <w:tcPr>
            <w:tcW w:w="990" w:type="dxa"/>
            <w:gridSpan w:val="3"/>
          </w:tcPr>
          <w:p>
            <w:pPr>
              <w:rPr>
                <w:rFonts w:ascii="宋体"/>
                <w:strike/>
                <w:dstrike w:val="0"/>
                <w:color w:val="000000"/>
                <w:szCs w:val="21"/>
              </w:rPr>
            </w:pPr>
            <w:r>
              <w:rPr>
                <w:rFonts w:hint="eastAsia" w:ascii="宋体" w:hAnsi="宋体"/>
                <w:strike/>
                <w:dstrike w:val="0"/>
                <w:color w:val="000000"/>
                <w:spacing w:val="-10"/>
                <w:szCs w:val="21"/>
              </w:rPr>
              <w:t>□</w:t>
            </w:r>
            <w:r>
              <w:rPr>
                <w:rFonts w:hint="eastAsia" w:ascii="宋体" w:hAnsi="宋体"/>
                <w:strike/>
                <w:dstrike w:val="0"/>
                <w:color w:val="000000"/>
                <w:szCs w:val="21"/>
              </w:rPr>
              <w:t>是</w:t>
            </w:r>
          </w:p>
        </w:tc>
        <w:tc>
          <w:tcPr>
            <w:tcW w:w="1314" w:type="dxa"/>
            <w:gridSpan w:val="3"/>
          </w:tcPr>
          <w:p>
            <w:pPr>
              <w:rPr>
                <w:rFonts w:ascii="宋体"/>
                <w:strike/>
                <w:dstrike w:val="0"/>
                <w:color w:val="000000"/>
                <w:szCs w:val="21"/>
              </w:rPr>
            </w:pPr>
            <w:r>
              <w:rPr>
                <w:rFonts w:hint="eastAsia" w:ascii="宋体" w:hAnsi="宋体"/>
                <w:strike/>
                <w:dstrike w:val="0"/>
                <w:color w:val="000000"/>
                <w:spacing w:val="-10"/>
                <w:szCs w:val="21"/>
              </w:rPr>
              <w:t>□</w:t>
            </w:r>
            <w:r>
              <w:rPr>
                <w:rFonts w:hint="eastAsia" w:ascii="宋体" w:hAnsi="宋体"/>
                <w:strike/>
                <w:dstrike w:val="0"/>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10</w:t>
            </w:r>
            <w:r>
              <w:rPr>
                <w:rFonts w:hint="eastAsia" w:ascii="宋体" w:hAnsi="宋体"/>
                <w:b/>
                <w:color w:val="000000"/>
                <w:szCs w:val="21"/>
                <w:u w:val="single"/>
              </w:rPr>
              <w:t>月</w:t>
            </w:r>
            <w:r>
              <w:rPr>
                <w:rFonts w:hint="eastAsia" w:ascii="宋体" w:hAnsi="宋体"/>
                <w:b/>
                <w:color w:val="000000"/>
                <w:szCs w:val="21"/>
                <w:u w:val="single"/>
                <w:lang w:val="en-US" w:eastAsia="zh-CN"/>
              </w:rPr>
              <w:t>11</w:t>
            </w:r>
            <w:r>
              <w:rPr>
                <w:rFonts w:hint="eastAsia" w:ascii="宋体" w:hAnsi="宋体"/>
                <w:b/>
                <w:color w:val="000000"/>
                <w:szCs w:val="21"/>
                <w:u w:val="single"/>
              </w:rPr>
              <w:t>日</w:t>
            </w:r>
            <w:r>
              <w:rPr>
                <w:rFonts w:hint="eastAsia" w:ascii="宋体" w:hAnsi="宋体"/>
                <w:b/>
                <w:color w:val="000000"/>
                <w:szCs w:val="21"/>
                <w:u w:val="single"/>
                <w:lang w:val="en-US" w:eastAsia="zh-CN"/>
              </w:rPr>
              <w:t>-10月12日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年11月26日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strike/>
                <w:dstrike w:val="0"/>
                <w:color w:val="000000"/>
                <w:szCs w:val="21"/>
              </w:rPr>
            </w:pPr>
            <w:r>
              <w:rPr>
                <w:rFonts w:hint="eastAsia" w:ascii="宋体" w:hAnsi="宋体"/>
                <w:strike/>
                <w:dstrike w:val="0"/>
                <w:color w:val="000000"/>
                <w:szCs w:val="21"/>
              </w:rPr>
              <w:t>（</w:t>
            </w:r>
            <w:r>
              <w:rPr>
                <w:rFonts w:ascii="宋体" w:hAnsi="宋体"/>
                <w:strike/>
                <w:dstrike w:val="0"/>
                <w:color w:val="000000"/>
                <w:szCs w:val="21"/>
              </w:rPr>
              <w:t>3</w:t>
            </w:r>
            <w:r>
              <w:rPr>
                <w:rFonts w:hint="eastAsia" w:ascii="宋体" w:hAnsi="宋体"/>
                <w:strike/>
                <w:dstrike w:val="0"/>
                <w:color w:val="000000"/>
                <w:szCs w:val="21"/>
              </w:rPr>
              <w:t>）不适用条款理由的详细说明</w:t>
            </w:r>
          </w:p>
        </w:tc>
        <w:tc>
          <w:tcPr>
            <w:tcW w:w="1063" w:type="dxa"/>
            <w:shd w:val="clear" w:color="auto" w:fill="DBEEF3" w:themeFill="accent5" w:themeFillTint="32"/>
          </w:tcPr>
          <w:p>
            <w:pPr>
              <w:rPr>
                <w:rFonts w:ascii="宋体"/>
                <w:strike/>
                <w:dstrike w:val="0"/>
                <w:color w:val="000000"/>
                <w:spacing w:val="-10"/>
                <w:szCs w:val="21"/>
              </w:rPr>
            </w:pPr>
            <w:r>
              <w:rPr>
                <w:rFonts w:hint="eastAsia" w:ascii="宋体" w:hAnsi="宋体"/>
                <w:strike/>
                <w:dstrike w:val="0"/>
                <w:color w:val="000000"/>
                <w:spacing w:val="-10"/>
                <w:szCs w:val="21"/>
              </w:rPr>
              <w:t>□</w:t>
            </w:r>
            <w:r>
              <w:rPr>
                <w:rFonts w:hint="eastAsia" w:ascii="宋体" w:hAnsi="宋体"/>
                <w:strike/>
                <w:dstrike w:val="0"/>
                <w:color w:val="000000"/>
                <w:szCs w:val="21"/>
              </w:rPr>
              <w:t>合理</w:t>
            </w:r>
          </w:p>
        </w:tc>
        <w:tc>
          <w:tcPr>
            <w:tcW w:w="1637" w:type="dxa"/>
            <w:shd w:val="clear" w:color="auto" w:fill="DBEEF3" w:themeFill="accent5" w:themeFillTint="32"/>
          </w:tcPr>
          <w:p>
            <w:pPr>
              <w:rPr>
                <w:rFonts w:ascii="宋体"/>
                <w:strike/>
                <w:dstrike w:val="0"/>
                <w:color w:val="000000"/>
                <w:spacing w:val="-10"/>
                <w:szCs w:val="21"/>
              </w:rPr>
            </w:pPr>
            <w:r>
              <w:rPr>
                <w:rFonts w:hint="eastAsia" w:ascii="宋体" w:hAnsi="宋体"/>
                <w:strike/>
                <w:dstrike w:val="0"/>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eastAsia="宋体"/>
                <w:color w:val="000000"/>
                <w:lang w:val="en-US" w:eastAsia="zh-CN"/>
              </w:rPr>
            </w:pPr>
            <w:r>
              <w:rPr>
                <w:rFonts w:hint="eastAsia"/>
                <w:color w:val="000000"/>
                <w:lang w:val="en-US" w:eastAsia="zh-CN"/>
              </w:rPr>
              <w:t>固体饮料（其他固体饮料：蔓越莓提取物、红景天提取物）</w:t>
            </w:r>
          </w:p>
          <w:p>
            <w:pPr>
              <w:rPr>
                <w:rFonts w:hint="eastAsia"/>
                <w:color w:val="000000"/>
                <w:u w:val="single"/>
              </w:rPr>
            </w:pPr>
            <w:r>
              <w:rPr>
                <w:rFonts w:hint="eastAsia"/>
                <w:color w:val="000000"/>
              </w:rPr>
              <w:t>质量关键过程（工序）：</w:t>
            </w:r>
            <w:r>
              <w:rPr>
                <w:rFonts w:hint="eastAsia"/>
                <w:color w:val="000000"/>
                <w:u w:val="single"/>
                <w:lang w:val="en-US" w:eastAsia="zh-CN"/>
              </w:rPr>
              <w:t xml:space="preserve">  原辅料验收，提取，灭菌，喷雾干燥，金属检测     </w:t>
            </w:r>
            <w:r>
              <w:rPr>
                <w:rFonts w:hint="eastAsia"/>
                <w:color w:val="000000"/>
                <w:u w:val="single"/>
              </w:rPr>
              <w:t>；</w:t>
            </w:r>
          </w:p>
          <w:p>
            <w:pPr>
              <w:pStyle w:val="2"/>
              <w:rPr>
                <w:rFonts w:hint="eastAsia"/>
              </w:rPr>
            </w:pPr>
          </w:p>
          <w:p>
            <w:pPr>
              <w:rPr>
                <w:rFonts w:hint="eastAsia"/>
                <w:color w:val="000000"/>
              </w:rPr>
            </w:pPr>
            <w:r>
              <w:rPr>
                <w:sz w:val="20"/>
                <w:szCs w:val="20"/>
                <w:highlight w:val="none"/>
              </w:rPr>
              <w:t>保健食品原料提取物（银杏叶提取物）</w:t>
            </w:r>
          </w:p>
          <w:p>
            <w:pPr>
              <w:rPr>
                <w:rFonts w:hint="eastAsia"/>
                <w:color w:val="000000"/>
                <w:u w:val="single"/>
              </w:rPr>
            </w:pPr>
            <w:r>
              <w:rPr>
                <w:rFonts w:hint="eastAsia"/>
                <w:color w:val="000000"/>
              </w:rPr>
              <w:t>质量关键过程（工序）：</w:t>
            </w:r>
            <w:r>
              <w:rPr>
                <w:rFonts w:hint="eastAsia"/>
                <w:color w:val="000000"/>
                <w:u w:val="single"/>
                <w:lang w:val="en-US" w:eastAsia="zh-CN"/>
              </w:rPr>
              <w:t xml:space="preserve"> 原辅料验收，提取，浓缩，灭菌，喷雾干燥，金属检测     </w:t>
            </w:r>
            <w:r>
              <w:rPr>
                <w:rFonts w:hint="eastAsia"/>
                <w:color w:val="000000"/>
                <w:u w:val="single"/>
              </w:rPr>
              <w:t>；</w:t>
            </w:r>
          </w:p>
          <w:p>
            <w:pPr>
              <w:pStyle w:val="2"/>
              <w:rPr>
                <w:rFonts w:hint="eastAsia"/>
              </w:rPr>
            </w:pPr>
          </w:p>
          <w:p>
            <w:pPr>
              <w:rPr>
                <w:rFonts w:hint="eastAsia" w:eastAsia="宋体"/>
                <w:sz w:val="20"/>
                <w:szCs w:val="20"/>
                <w:lang w:eastAsia="zh-CN"/>
              </w:rPr>
            </w:pPr>
            <w:r>
              <w:rPr>
                <w:sz w:val="20"/>
                <w:szCs w:val="20"/>
              </w:rPr>
              <w:t>保健食品（尖峰仁寿堂牌破壁灵芝孢子粉（粉剂））</w:t>
            </w:r>
            <w:r>
              <w:rPr>
                <w:rFonts w:hint="eastAsia"/>
                <w:sz w:val="20"/>
                <w:szCs w:val="20"/>
                <w:lang w:eastAsia="zh-CN"/>
              </w:rPr>
              <w:t>：</w:t>
            </w:r>
          </w:p>
          <w:p>
            <w:pPr>
              <w:rPr>
                <w:rFonts w:hint="eastAsia"/>
                <w:color w:val="000000"/>
                <w:u w:val="single"/>
              </w:rPr>
            </w:pPr>
            <w:r>
              <w:rPr>
                <w:rFonts w:hint="eastAsia"/>
                <w:color w:val="000000"/>
              </w:rPr>
              <w:t>质量关键过程（工序）：</w:t>
            </w:r>
            <w:r>
              <w:rPr>
                <w:rFonts w:hint="eastAsia"/>
                <w:color w:val="000000"/>
                <w:u w:val="single"/>
                <w:lang w:val="en-US" w:eastAsia="zh-CN"/>
              </w:rPr>
              <w:t xml:space="preserve"> 原辅料验收，内包，称重 </w:t>
            </w:r>
            <w:r>
              <w:rPr>
                <w:rFonts w:hint="eastAsia"/>
                <w:color w:val="000000"/>
                <w:u w:val="single"/>
              </w:rPr>
              <w:t>；</w:t>
            </w:r>
          </w:p>
          <w:p>
            <w:pPr>
              <w:rPr>
                <w:rFonts w:hint="eastAsia"/>
                <w:color w:val="000000"/>
              </w:rPr>
            </w:pPr>
          </w:p>
          <w:p>
            <w:pPr>
              <w:rPr>
                <w:sz w:val="20"/>
                <w:szCs w:val="20"/>
              </w:rPr>
            </w:pPr>
            <w:r>
              <w:rPr>
                <w:sz w:val="20"/>
                <w:szCs w:val="20"/>
              </w:rPr>
              <w:t>其他饮料（植物饮料）</w:t>
            </w:r>
          </w:p>
          <w:p>
            <w:pPr>
              <w:rPr>
                <w:rFonts w:ascii="宋体"/>
                <w:color w:val="000000"/>
                <w:szCs w:val="21"/>
              </w:rPr>
            </w:pPr>
            <w:r>
              <w:rPr>
                <w:rFonts w:hint="eastAsia"/>
                <w:color w:val="000000"/>
              </w:rPr>
              <w:t>质量关键过程（工序）：</w:t>
            </w:r>
            <w:r>
              <w:rPr>
                <w:rFonts w:hint="eastAsia"/>
                <w:color w:val="000000"/>
                <w:u w:val="single"/>
                <w:lang w:val="en-US" w:eastAsia="zh-CN"/>
              </w:rPr>
              <w:t xml:space="preserve"> 原辅料验收，配料，灭菌  </w:t>
            </w:r>
            <w:r>
              <w:rPr>
                <w:rFonts w:hint="eastAsia"/>
                <w:color w:val="000000"/>
                <w:u w:val="single"/>
              </w:rPr>
              <w:t>；</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喷雾干燥</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无，虫害消杀服务按照供方管理进行控制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hint="default" w:ascii="宋体" w:hAnsi="宋体" w:eastAsia="宋体"/>
                <w:color w:val="000000"/>
                <w:szCs w:val="21"/>
                <w:lang w:val="en-US" w:eastAsia="zh-CN"/>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lang w:val="en-US" w:eastAsia="zh-CN"/>
              </w:rPr>
              <w:t>植物饮料型式检验报告已过期，见问题清单</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10"/>
        <w:tblpPr w:leftFromText="180" w:rightFromText="180" w:vertAnchor="text" w:horzAnchor="page" w:tblpX="1159" w:tblpY="313"/>
        <w:tblOverlap w:val="never"/>
        <w:tblW w:w="9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573"/>
        <w:gridCol w:w="4490"/>
        <w:gridCol w:w="1470"/>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hint="eastAsia" w:eastAsia="黑体"/>
                <w:b/>
                <w:szCs w:val="21"/>
              </w:rPr>
              <w:sym w:font="Wingdings" w:char="00FE"/>
            </w:r>
            <w:r>
              <w:rPr>
                <w:rFonts w:eastAsia="黑体"/>
                <w:b/>
                <w:szCs w:val="21"/>
              </w:rPr>
              <w:t xml:space="preserve">ISO </w:t>
            </w:r>
            <w:r>
              <w:rPr>
                <w:rFonts w:hint="eastAsia" w:eastAsia="黑体"/>
                <w:b/>
                <w:szCs w:val="21"/>
              </w:rPr>
              <w:t>22000</w:t>
            </w:r>
            <w:r>
              <w:rPr>
                <w:rFonts w:eastAsia="黑体"/>
                <w:b/>
                <w:szCs w:val="21"/>
              </w:rPr>
              <w:t>:20</w:t>
            </w:r>
            <w:r>
              <w:rPr>
                <w:rFonts w:hint="eastAsia" w:eastAsia="黑体"/>
                <w:b/>
                <w:szCs w:val="21"/>
              </w:rPr>
              <w:t>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9763" w:type="dxa"/>
            <w:gridSpan w:val="4"/>
            <w:shd w:val="clear" w:color="auto" w:fill="E6E0EC" w:themeFill="accent4" w:themeFillTint="32"/>
          </w:tcPr>
          <w:p>
            <w:pPr>
              <w:rPr>
                <w:rFonts w:ascii="宋体"/>
                <w:b/>
                <w:color w:val="000000"/>
                <w:szCs w:val="21"/>
              </w:rPr>
            </w:pPr>
            <w:r>
              <w:rPr>
                <w:rFonts w:hint="eastAsia" w:ascii="宋体" w:hAnsi="宋体"/>
                <w:b/>
                <w:color w:val="000000"/>
                <w:szCs w:val="21"/>
              </w:rPr>
              <w:t>FSMS过程和范围识别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）是否阐明了食品安全管理体系的实施范围</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7063" w:type="dxa"/>
            <w:gridSpan w:val="2"/>
            <w:shd w:val="clear" w:color="auto" w:fill="E6E0EC" w:themeFill="accent4" w:themeFillTint="32"/>
          </w:tcPr>
          <w:p>
            <w:pPr>
              <w:rPr>
                <w:rFonts w:hint="default" w:ascii="宋体" w:hAnsi="宋体" w:eastAsia="宋体"/>
                <w:color w:val="000000"/>
                <w:szCs w:val="21"/>
                <w:highlight w:val="none"/>
                <w:lang w:val="en-US" w:eastAsia="zh-CN"/>
              </w:rPr>
            </w:pPr>
            <w:r>
              <w:rPr>
                <w:rFonts w:hint="eastAsia" w:ascii="宋体" w:hAnsi="宋体"/>
                <w:color w:val="000000"/>
                <w:szCs w:val="21"/>
                <w:highlight w:val="none"/>
              </w:rPr>
              <w:t>（</w:t>
            </w:r>
            <w:r>
              <w:rPr>
                <w:rFonts w:ascii="宋体" w:hAnsi="宋体"/>
                <w:color w:val="000000"/>
                <w:szCs w:val="21"/>
                <w:highlight w:val="none"/>
              </w:rPr>
              <w:t>2</w:t>
            </w:r>
            <w:r>
              <w:rPr>
                <w:rFonts w:hint="eastAsia" w:ascii="宋体" w:hAnsi="宋体"/>
                <w:color w:val="000000"/>
                <w:szCs w:val="21"/>
                <w:highlight w:val="none"/>
              </w:rPr>
              <w:t>）对生产加工的外包委托方是否实施了有效的控制（适用时）</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不适用</w:t>
            </w:r>
            <w:r>
              <w:rPr>
                <w:rFonts w:hint="eastAsia" w:ascii="宋体" w:hAnsi="宋体"/>
                <w:color w:val="000000"/>
                <w:szCs w:val="21"/>
                <w:highlight w:val="none"/>
                <w:lang w:eastAsia="zh-CN"/>
              </w:rPr>
              <w:t>）</w:t>
            </w:r>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lang w:eastAsia="zh-CN"/>
              </w:rPr>
              <w:sym w:font="Wingdings 2" w:char="00A3"/>
            </w:r>
            <w:r>
              <w:rPr>
                <w:rFonts w:hint="eastAsia" w:ascii="宋体" w:hAnsi="宋体"/>
                <w:color w:val="000000"/>
                <w:szCs w:val="21"/>
                <w:highlight w:val="none"/>
              </w:rPr>
              <w:t>是</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7063" w:type="dxa"/>
            <w:gridSpan w:val="2"/>
            <w:shd w:val="clear" w:color="auto" w:fill="E6E0EC" w:themeFill="accent4" w:themeFillTint="32"/>
          </w:tcPr>
          <w:p>
            <w:pPr>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w:t>
            </w:r>
            <w:r>
              <w:rPr>
                <w:rFonts w:hint="eastAsia" w:ascii="宋体" w:hAnsi="宋体"/>
                <w:bCs/>
                <w:color w:val="auto"/>
                <w:sz w:val="20"/>
                <w:lang w:val="en-GB"/>
              </w:rPr>
              <w:t>成立了</w:t>
            </w:r>
            <w:r>
              <w:rPr>
                <w:rFonts w:hint="eastAsia" w:ascii="宋体" w:hAnsi="宋体"/>
                <w:bCs/>
                <w:color w:val="auto"/>
                <w:sz w:val="20"/>
              </w:rPr>
              <w:t>食品安全</w:t>
            </w:r>
            <w:r>
              <w:rPr>
                <w:rFonts w:hint="eastAsia" w:ascii="宋体" w:hAnsi="宋体"/>
                <w:bCs/>
                <w:color w:val="auto"/>
                <w:sz w:val="20"/>
                <w:lang w:val="en-GB"/>
              </w:rPr>
              <w:t>小组，进行了</w:t>
            </w:r>
            <w:r>
              <w:rPr>
                <w:rFonts w:hint="eastAsia" w:ascii="宋体" w:hAnsi="宋体"/>
                <w:bCs/>
                <w:color w:val="auto"/>
                <w:sz w:val="20"/>
              </w:rPr>
              <w:t>充分的</w:t>
            </w:r>
            <w:r>
              <w:rPr>
                <w:rFonts w:hint="eastAsia" w:ascii="宋体" w:hAnsi="宋体"/>
                <w:bCs/>
                <w:color w:val="auto"/>
                <w:sz w:val="20"/>
                <w:lang w:val="en-GB"/>
              </w:rPr>
              <w:t>食品安全危害分析</w:t>
            </w:r>
            <w:r>
              <w:rPr>
                <w:rFonts w:hint="eastAsia" w:ascii="宋体" w:hAnsi="宋体"/>
                <w:bCs/>
                <w:color w:val="auto"/>
                <w:sz w:val="20"/>
              </w:rPr>
              <w:t>和评估</w:t>
            </w:r>
          </w:p>
        </w:tc>
        <w:tc>
          <w:tcPr>
            <w:tcW w:w="1470" w:type="dxa"/>
            <w:shd w:val="clear" w:color="auto" w:fill="E6E0EC" w:themeFill="accent4" w:themeFillTint="32"/>
          </w:tcPr>
          <w:p>
            <w:pPr>
              <w:rPr>
                <w:rFonts w:hint="default" w:ascii="宋体" w:eastAsia="宋体"/>
                <w:color w:val="auto"/>
                <w:spacing w:val="-10"/>
                <w:szCs w:val="21"/>
                <w:lang w:val="en-US" w:eastAsia="zh-CN"/>
              </w:rPr>
            </w:pPr>
            <w:r>
              <w:rPr>
                <w:rFonts w:hint="eastAsia" w:ascii="宋体" w:hAnsi="宋体"/>
                <w:color w:val="auto"/>
                <w:spacing w:val="-10"/>
                <w:szCs w:val="21"/>
              </w:rPr>
              <w:t>☑</w:t>
            </w:r>
            <w:r>
              <w:rPr>
                <w:rFonts w:hint="eastAsia" w:ascii="宋体" w:hAnsi="宋体"/>
                <w:color w:val="auto"/>
                <w:szCs w:val="21"/>
              </w:rPr>
              <w:t>是</w:t>
            </w:r>
            <w:r>
              <w:rPr>
                <w:rFonts w:hint="eastAsia" w:ascii="宋体" w:hAnsi="宋体"/>
                <w:color w:val="auto"/>
                <w:szCs w:val="21"/>
                <w:lang w:eastAsia="zh-CN"/>
              </w:rPr>
              <w:t>，</w:t>
            </w:r>
            <w:r>
              <w:rPr>
                <w:rFonts w:hint="eastAsia" w:ascii="宋体" w:hAnsi="宋体"/>
                <w:color w:val="auto"/>
                <w:szCs w:val="21"/>
                <w:lang w:val="en-US" w:eastAsia="zh-CN"/>
              </w:rPr>
              <w:t>但不充分，见问题清单</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7063" w:type="dxa"/>
            <w:gridSpan w:val="2"/>
            <w:shd w:val="clear" w:color="auto" w:fill="E6E0EC" w:themeFill="accent4" w:themeFillTint="32"/>
          </w:tcPr>
          <w:p>
            <w:pPr>
              <w:rPr>
                <w:rFonts w:ascii="宋体" w:hAnsi="宋体"/>
                <w:color w:val="000000"/>
                <w:szCs w:val="21"/>
                <w:highlight w:val="none"/>
              </w:rPr>
            </w:pPr>
            <w:r>
              <w:rPr>
                <w:rFonts w:hint="eastAsia" w:ascii="宋体" w:hAnsi="宋体"/>
                <w:color w:val="000000"/>
                <w:szCs w:val="21"/>
                <w:highlight w:val="none"/>
              </w:rPr>
              <w:t>（4）</w:t>
            </w:r>
            <w:r>
              <w:rPr>
                <w:rFonts w:hint="eastAsia" w:ascii="宋体" w:hAnsi="宋体"/>
                <w:bCs/>
                <w:sz w:val="20"/>
                <w:highlight w:val="none"/>
                <w:lang w:val="en-GB"/>
              </w:rPr>
              <w:t>建立了应急准备、产品撤回/召回程序和可追溯性系统</w:t>
            </w:r>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是</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7063" w:type="dxa"/>
            <w:gridSpan w:val="2"/>
            <w:shd w:val="clear" w:color="auto" w:fill="E6E0EC" w:themeFill="accent4" w:themeFillTint="32"/>
          </w:tcPr>
          <w:p>
            <w:pPr>
              <w:rPr>
                <w:rFonts w:ascii="宋体" w:hAnsi="宋体"/>
                <w:color w:val="000000"/>
                <w:szCs w:val="21"/>
              </w:rPr>
            </w:pPr>
            <w:r>
              <w:rPr>
                <w:rFonts w:hint="eastAsia" w:ascii="宋体" w:hAnsi="宋体"/>
                <w:bCs/>
                <w:sz w:val="20"/>
                <w:lang w:val="en-GB"/>
              </w:rPr>
              <w:t>（</w:t>
            </w:r>
            <w:r>
              <w:rPr>
                <w:rFonts w:hint="eastAsia" w:ascii="宋体" w:hAnsi="宋体"/>
                <w:bCs/>
                <w:sz w:val="20"/>
              </w:rPr>
              <w:t>5</w:t>
            </w:r>
            <w:r>
              <w:rPr>
                <w:rFonts w:hint="eastAsia" w:ascii="宋体" w:hAnsi="宋体"/>
                <w:bCs/>
                <w:sz w:val="20"/>
                <w:lang w:val="en-GB"/>
              </w:rPr>
              <w:t>）已建立食品安全验证和控制措施/控制措施验证的程序</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7063" w:type="dxa"/>
            <w:gridSpan w:val="2"/>
            <w:shd w:val="clear" w:color="auto" w:fill="E6E0EC" w:themeFill="accent4" w:themeFillTint="32"/>
            <w:vAlign w:val="center"/>
          </w:tcPr>
          <w:p>
            <w:pPr>
              <w:pStyle w:val="23"/>
              <w:jc w:val="left"/>
              <w:rPr>
                <w:rFonts w:ascii="宋体" w:hAnsi="宋体" w:eastAsia="宋体"/>
                <w:b w:val="0"/>
                <w:bCs/>
                <w:sz w:val="20"/>
                <w:lang w:val="en-US"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w:t>
            </w:r>
            <w:r>
              <w:rPr>
                <w:rFonts w:hint="eastAsia" w:ascii="宋体" w:hAnsi="宋体" w:eastAsia="宋体"/>
                <w:b w:val="0"/>
                <w:bCs/>
                <w:sz w:val="20"/>
                <w:lang w:val="en-US" w:eastAsia="zh-CN"/>
              </w:rPr>
              <w:t>充分</w:t>
            </w:r>
          </w:p>
        </w:tc>
        <w:tc>
          <w:tcPr>
            <w:tcW w:w="1470"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hAnsi="宋体"/>
                <w:color w:val="auto"/>
                <w:spacing w:val="-10"/>
                <w:szCs w:val="21"/>
                <w:lang w:eastAsia="zh-CN"/>
              </w:rPr>
              <w:sym w:font="Wingdings 2" w:char="0052"/>
            </w:r>
            <w:r>
              <w:rPr>
                <w:rFonts w:hint="eastAsia" w:ascii="宋体" w:hAnsi="宋体"/>
                <w:color w:val="auto"/>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7063" w:type="dxa"/>
            <w:gridSpan w:val="2"/>
            <w:shd w:val="clear" w:color="auto" w:fill="E6E0EC" w:themeFill="accent4" w:themeFillTint="32"/>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7063" w:type="dxa"/>
            <w:gridSpan w:val="2"/>
            <w:shd w:val="clear" w:color="auto" w:fill="E6E0EC" w:themeFill="accent4" w:themeFillTint="32"/>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）初步评价OPRP的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7063" w:type="dxa"/>
            <w:gridSpan w:val="2"/>
            <w:shd w:val="clear" w:color="auto" w:fill="E6E0EC" w:themeFill="accent4" w:themeFillTint="32"/>
            <w:vAlign w:val="center"/>
          </w:tcPr>
          <w:p>
            <w:pPr>
              <w:pStyle w:val="25"/>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9</w:t>
            </w:r>
            <w:r>
              <w:rPr>
                <w:rFonts w:hint="eastAsia" w:ascii="宋体" w:hAnsi="宋体"/>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470"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7063" w:type="dxa"/>
            <w:gridSpan w:val="2"/>
            <w:shd w:val="clear" w:color="auto" w:fill="E6E0EC" w:themeFill="accent4" w:themeFillTint="32"/>
            <w:vAlign w:val="center"/>
          </w:tcPr>
          <w:p>
            <w:pPr>
              <w:pStyle w:val="23"/>
              <w:jc w:val="left"/>
              <w:rPr>
                <w:rFonts w:ascii="宋体" w:hAnsi="宋体" w:eastAsia="宋体"/>
                <w:b w:val="0"/>
                <w:bCs/>
                <w:sz w:val="20"/>
                <w:highlight w:val="none"/>
                <w:lang w:val="en-GB" w:eastAsia="zh-CN"/>
              </w:rPr>
            </w:pPr>
            <w:r>
              <w:rPr>
                <w:rFonts w:hint="eastAsia" w:ascii="宋体" w:hAnsi="宋体" w:eastAsia="宋体"/>
                <w:b w:val="0"/>
                <w:bCs/>
                <w:sz w:val="20"/>
                <w:highlight w:val="none"/>
                <w:lang w:val="en-GB" w:eastAsia="zh-CN"/>
              </w:rPr>
              <w:t>（</w:t>
            </w:r>
            <w:r>
              <w:rPr>
                <w:rFonts w:hint="eastAsia" w:ascii="宋体" w:hAnsi="宋体" w:eastAsia="宋体"/>
                <w:b w:val="0"/>
                <w:bCs/>
                <w:sz w:val="20"/>
                <w:highlight w:val="none"/>
                <w:lang w:val="en-US" w:eastAsia="zh-CN"/>
              </w:rPr>
              <w:t>10</w:t>
            </w:r>
            <w:r>
              <w:rPr>
                <w:rFonts w:hint="eastAsia" w:ascii="宋体" w:hAnsi="宋体" w:eastAsia="宋体"/>
                <w:b w:val="0"/>
                <w:bCs/>
                <w:sz w:val="20"/>
                <w:highlight w:val="none"/>
                <w:lang w:val="en-GB" w:eastAsia="zh-CN"/>
              </w:rPr>
              <w:t>）企业是否组织了</w:t>
            </w:r>
            <w:r>
              <w:rPr>
                <w:rFonts w:hint="eastAsia" w:ascii="宋体" w:hAnsi="宋体" w:eastAsia="宋体"/>
                <w:b w:val="0"/>
                <w:bCs/>
                <w:sz w:val="20"/>
                <w:highlight w:val="none"/>
                <w:lang w:val="en-US" w:eastAsia="zh-CN"/>
              </w:rPr>
              <w:t>食品安全</w:t>
            </w:r>
            <w:r>
              <w:rPr>
                <w:rFonts w:hint="eastAsia" w:ascii="宋体" w:hAnsi="宋体" w:eastAsia="宋体"/>
                <w:b w:val="0"/>
                <w:bCs/>
                <w:sz w:val="20"/>
                <w:highlight w:val="none"/>
                <w:lang w:val="en-GB" w:eastAsia="zh-CN"/>
              </w:rPr>
              <w:t>知识的培训</w:t>
            </w:r>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是</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7063" w:type="dxa"/>
            <w:gridSpan w:val="2"/>
            <w:shd w:val="clear" w:color="auto" w:fill="E6E0EC" w:themeFill="accent4" w:themeFillTint="32"/>
            <w:vAlign w:val="center"/>
          </w:tcPr>
          <w:p>
            <w:pPr>
              <w:pStyle w:val="25"/>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11</w:t>
            </w:r>
            <w:r>
              <w:rPr>
                <w:rFonts w:hint="eastAsia" w:ascii="宋体" w:hAnsi="宋体"/>
                <w:bCs/>
                <w:sz w:val="20"/>
                <w:lang w:val="en-GB"/>
              </w:rPr>
              <w:t>）</w:t>
            </w:r>
            <w:r>
              <w:rPr>
                <w:rFonts w:hint="eastAsia"/>
              </w:rPr>
              <w:t>对食品安全管理体系的文件是否安排内部沟通</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7063" w:type="dxa"/>
            <w:gridSpan w:val="2"/>
            <w:shd w:val="clear" w:color="auto" w:fill="E6E0EC" w:themeFill="accent4" w:themeFillTint="32"/>
            <w:vAlign w:val="center"/>
          </w:tcPr>
          <w:p>
            <w:pPr>
              <w:pStyle w:val="25"/>
              <w:ind w:firstLine="0" w:firstLineChars="0"/>
            </w:pPr>
            <w:r>
              <w:rPr>
                <w:rFonts w:hint="eastAsia" w:ascii="宋体" w:hAnsi="宋体"/>
                <w:bCs/>
                <w:sz w:val="20"/>
                <w:lang w:val="en-GB"/>
              </w:rPr>
              <w:t>（</w:t>
            </w:r>
            <w:r>
              <w:rPr>
                <w:rFonts w:hint="eastAsia" w:ascii="宋体" w:hAnsi="宋体"/>
                <w:bCs/>
                <w:sz w:val="20"/>
              </w:rPr>
              <w:t>12</w:t>
            </w:r>
            <w:r>
              <w:rPr>
                <w:rFonts w:hint="eastAsia" w:ascii="宋体" w:hAnsi="宋体"/>
                <w:bCs/>
                <w:sz w:val="20"/>
                <w:lang w:val="en-GB"/>
              </w:rPr>
              <w:t>）</w:t>
            </w:r>
            <w:r>
              <w:rPr>
                <w:rFonts w:hint="eastAsia"/>
              </w:rPr>
              <w:t>对食品安全管理体系的文件是否安排与相关供应商、顾客、利益相关方的沟通</w:t>
            </w:r>
            <w:r>
              <w:t>;</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7063" w:type="dxa"/>
            <w:gridSpan w:val="2"/>
            <w:shd w:val="clear" w:color="auto" w:fill="E6E0EC" w:themeFill="accent4" w:themeFillTint="32"/>
            <w:vAlign w:val="center"/>
          </w:tcPr>
          <w:p>
            <w:pPr>
              <w:pStyle w:val="25"/>
              <w:ind w:firstLine="0" w:firstLineChars="0"/>
            </w:pPr>
            <w:r>
              <w:rPr>
                <w:rFonts w:hint="eastAsia" w:ascii="宋体" w:hAnsi="宋体"/>
                <w:bCs/>
                <w:sz w:val="20"/>
                <w:lang w:val="en-GB"/>
              </w:rPr>
              <w:t>（</w:t>
            </w:r>
            <w:r>
              <w:rPr>
                <w:rFonts w:hint="eastAsia" w:ascii="宋体" w:hAnsi="宋体"/>
                <w:bCs/>
                <w:sz w:val="20"/>
              </w:rPr>
              <w:t>13</w:t>
            </w:r>
            <w:r>
              <w:rPr>
                <w:rFonts w:hint="eastAsia" w:ascii="宋体" w:hAnsi="宋体"/>
                <w:bCs/>
                <w:sz w:val="20"/>
                <w:lang w:val="en-GB"/>
              </w:rPr>
              <w:t>）</w:t>
            </w:r>
            <w:r>
              <w:rPr>
                <w:rFonts w:hint="eastAsia"/>
              </w:rPr>
              <w:t>控制措施的确认、活动的验证和改进方案是否符合食品安全管理体系标准的要求</w:t>
            </w:r>
            <w:r>
              <w:t>;</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7063" w:type="dxa"/>
            <w:gridSpan w:val="2"/>
            <w:shd w:val="clear" w:color="auto" w:fill="E6E0EC" w:themeFill="accent4" w:themeFillTint="32"/>
            <w:vAlign w:val="center"/>
          </w:tcPr>
          <w:p>
            <w:pPr>
              <w:pStyle w:val="23"/>
              <w:jc w:val="left"/>
              <w:rPr>
                <w:rFonts w:ascii="宋体" w:hAnsi="宋体" w:eastAsia="宋体"/>
                <w:b w:val="0"/>
                <w:bCs/>
                <w:sz w:val="20"/>
                <w:highlight w:val="none"/>
                <w:lang w:val="en-GB" w:eastAsia="zh-CN"/>
              </w:rPr>
            </w:pPr>
            <w:r>
              <w:rPr>
                <w:rFonts w:hint="eastAsia" w:ascii="宋体" w:hAnsi="宋体" w:eastAsia="宋体"/>
                <w:b w:val="0"/>
                <w:bCs/>
                <w:sz w:val="20"/>
                <w:highlight w:val="none"/>
                <w:lang w:val="en-GB" w:eastAsia="zh-CN"/>
              </w:rPr>
              <w:t>（</w:t>
            </w:r>
            <w:r>
              <w:rPr>
                <w:rFonts w:hint="eastAsia" w:ascii="宋体" w:hAnsi="宋体" w:eastAsia="宋体"/>
                <w:b w:val="0"/>
                <w:bCs/>
                <w:sz w:val="20"/>
                <w:highlight w:val="none"/>
                <w:lang w:val="en-US" w:eastAsia="zh-CN"/>
              </w:rPr>
              <w:t>1</w:t>
            </w:r>
            <w:r>
              <w:rPr>
                <w:rFonts w:hint="eastAsia" w:ascii="宋体" w:hAnsi="宋体"/>
                <w:b w:val="0"/>
                <w:bCs/>
                <w:sz w:val="20"/>
                <w:highlight w:val="none"/>
                <w:lang w:val="en-US" w:eastAsia="zh-CN"/>
              </w:rPr>
              <w:t>4</w:t>
            </w:r>
            <w:r>
              <w:rPr>
                <w:rFonts w:hint="eastAsia" w:ascii="宋体" w:hAnsi="宋体" w:eastAsia="宋体"/>
                <w:b w:val="0"/>
                <w:bCs/>
                <w:sz w:val="20"/>
                <w:highlight w:val="none"/>
                <w:lang w:val="en-GB" w:eastAsia="zh-CN"/>
              </w:rPr>
              <w:t>）有关员工是否进行了健康检查</w:t>
            </w:r>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是</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7063" w:type="dxa"/>
            <w:gridSpan w:val="2"/>
            <w:shd w:val="clear" w:color="auto" w:fill="E6E0EC" w:themeFill="accent4" w:themeFillTint="32"/>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15</w:t>
            </w:r>
            <w:r>
              <w:rPr>
                <w:rFonts w:hint="eastAsia" w:ascii="宋体" w:hAnsi="宋体" w:eastAsia="宋体"/>
                <w:b w:val="0"/>
                <w:bCs/>
                <w:sz w:val="20"/>
                <w:lang w:val="en-GB" w:eastAsia="zh-CN"/>
              </w:rPr>
              <w:t>）一年内是否未发生违反我国和进口国（地区）相关法律、法规的食品安全卫生事故；</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7063" w:type="dxa"/>
            <w:gridSpan w:val="2"/>
            <w:shd w:val="clear" w:color="auto" w:fill="E6E0EC" w:themeFill="accent4" w:themeFillTint="32"/>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）五年内未因违反HACCP实施规则被认证机构撤销认证证书</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7063" w:type="dxa"/>
            <w:gridSpan w:val="2"/>
            <w:shd w:val="clear" w:color="auto" w:fill="E6E0EC" w:themeFill="accent4" w:themeFillTint="32"/>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9763" w:type="dxa"/>
            <w:gridSpan w:val="4"/>
            <w:shd w:val="clear" w:color="auto" w:fill="E6E0EC" w:themeFill="accent4" w:themeFillTint="32"/>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trPr>
        <w:tc>
          <w:tcPr>
            <w:tcW w:w="2573"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lang w:val="en-US" w:eastAsia="zh-CN"/>
              </w:rPr>
              <w:t>显著危害</w:t>
            </w:r>
            <w:r>
              <w:rPr>
                <w:rFonts w:hint="eastAsia" w:ascii="宋体" w:hAnsi="宋体"/>
                <w:color w:val="000000"/>
                <w:spacing w:val="-10"/>
                <w:szCs w:val="21"/>
                <w:highlight w:val="none"/>
              </w:rPr>
              <w:t>的识别</w:t>
            </w:r>
          </w:p>
        </w:tc>
        <w:tc>
          <w:tcPr>
            <w:tcW w:w="4490" w:type="dxa"/>
            <w:shd w:val="clear" w:color="auto" w:fill="E6E0EC" w:themeFill="accent4" w:themeFillTint="32"/>
          </w:tcPr>
          <w:p>
            <w:pPr>
              <w:pStyle w:val="7"/>
              <w:spacing w:line="360" w:lineRule="auto"/>
              <w:rPr>
                <w:rFonts w:hint="eastAsia" w:ascii="Times New Roman" w:hAnsi="Times New Roman" w:cs="Times New Roman"/>
                <w:highlight w:val="lightGray"/>
                <w:lang w:val="en-US" w:eastAsia="zh-CN"/>
              </w:rPr>
            </w:pPr>
            <w:r>
              <w:rPr>
                <w:rFonts w:hint="eastAsia" w:ascii="Times New Roman" w:hAnsi="Times New Roman" w:cs="Times New Roman"/>
                <w:highlight w:val="lightGray"/>
                <w:lang w:val="en-US" w:eastAsia="zh-CN"/>
              </w:rPr>
              <w:t>植物饮料：（EGCG&amp;N-乙酰神经氨酸液态饮）：</w:t>
            </w:r>
          </w:p>
          <w:p>
            <w:pPr>
              <w:pStyle w:val="7"/>
              <w:spacing w:line="360" w:lineRule="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CCP：灭菌</w:t>
            </w:r>
          </w:p>
          <w:p>
            <w:pPr>
              <w:pStyle w:val="7"/>
              <w:spacing w:line="360" w:lineRule="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OPRP1-1原料验收</w:t>
            </w:r>
          </w:p>
          <w:p>
            <w:pPr>
              <w:pStyle w:val="7"/>
              <w:spacing w:line="360" w:lineRule="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OPRP1-2</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lang w:val="en-US" w:eastAsia="zh-CN"/>
              </w:rPr>
              <w:t>原料和辅料验收（内包材）</w:t>
            </w:r>
          </w:p>
          <w:p>
            <w:pPr>
              <w:pStyle w:val="7"/>
              <w:spacing w:line="360" w:lineRule="auto"/>
              <w:rPr>
                <w:rFonts w:hint="eastAsia" w:ascii="Times New Roman" w:hAnsi="Times New Roman" w:cs="Times New Roman"/>
                <w:highlight w:val="lightGray"/>
                <w:lang w:val="en-US" w:eastAsia="zh-CN"/>
              </w:rPr>
            </w:pPr>
            <w:r>
              <w:rPr>
                <w:rFonts w:hint="eastAsia" w:ascii="Times New Roman" w:hAnsi="Times New Roman" w:cs="Times New Roman"/>
                <w:highlight w:val="lightGray"/>
                <w:lang w:val="en-US" w:eastAsia="zh-CN"/>
              </w:rPr>
              <w:t>固体饮料（其他固体饮料：红景天提取物）</w:t>
            </w:r>
          </w:p>
          <w:p>
            <w:pPr>
              <w:pStyle w:val="7"/>
              <w:spacing w:line="360" w:lineRule="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CCP1</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喷雾干燥</w:t>
            </w:r>
          </w:p>
          <w:p>
            <w:pPr>
              <w:pStyle w:val="7"/>
              <w:spacing w:line="360" w:lineRule="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CCP2</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金属探测</w:t>
            </w:r>
          </w:p>
          <w:p>
            <w:pPr>
              <w:pStyle w:val="7"/>
              <w:spacing w:line="360" w:lineRule="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OPRP1</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原料验收</w:t>
            </w:r>
          </w:p>
          <w:p>
            <w:pPr>
              <w:pStyle w:val="7"/>
              <w:spacing w:line="360" w:lineRule="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OPRP2</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内包</w:t>
            </w:r>
          </w:p>
          <w:p>
            <w:pPr>
              <w:pStyle w:val="7"/>
              <w:spacing w:line="360" w:lineRule="auto"/>
              <w:rPr>
                <w:rFonts w:hint="eastAsia" w:ascii="Times New Roman" w:hAnsi="Times New Roman" w:cs="Times New Roman"/>
                <w:highlight w:val="lightGray"/>
                <w:lang w:val="en-US" w:eastAsia="zh-CN"/>
              </w:rPr>
            </w:pPr>
            <w:r>
              <w:rPr>
                <w:rFonts w:hint="eastAsia" w:ascii="Times New Roman" w:hAnsi="Times New Roman" w:cs="Times New Roman"/>
                <w:highlight w:val="lightGray"/>
                <w:lang w:val="en-US" w:eastAsia="zh-CN"/>
              </w:rPr>
              <w:t>固体饮料（其他固体饮料：蔓越莓提取物）</w:t>
            </w:r>
          </w:p>
          <w:p>
            <w:pPr>
              <w:pStyle w:val="7"/>
              <w:spacing w:line="360" w:lineRule="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CCP1</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喷雾干燥</w:t>
            </w:r>
          </w:p>
          <w:p>
            <w:pPr>
              <w:pStyle w:val="7"/>
              <w:spacing w:line="360" w:lineRule="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CCP2</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金属探测</w:t>
            </w:r>
          </w:p>
          <w:p>
            <w:pPr>
              <w:pStyle w:val="7"/>
              <w:spacing w:line="360" w:lineRule="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OPRP1</w:t>
            </w:r>
            <w:r>
              <w:rPr>
                <w:rFonts w:hint="eastAsia" w:ascii="Times New Roman" w:hAnsi="Times New Roman" w:cs="Times New Roman"/>
                <w:highlight w:val="none"/>
                <w:lang w:val="en-US" w:eastAsia="zh-CN"/>
              </w:rPr>
              <w:t>-1：</w:t>
            </w:r>
            <w:r>
              <w:rPr>
                <w:rFonts w:hint="default" w:ascii="Times New Roman" w:hAnsi="Times New Roman" w:cs="Times New Roman"/>
                <w:highlight w:val="none"/>
                <w:lang w:val="en-US" w:eastAsia="zh-CN"/>
              </w:rPr>
              <w:t>原料验收</w:t>
            </w:r>
            <w:r>
              <w:rPr>
                <w:rFonts w:hint="eastAsia" w:ascii="Times New Roman" w:hAnsi="Times New Roman" w:cs="Times New Roman"/>
                <w:highlight w:val="none"/>
                <w:lang w:val="en-US" w:eastAsia="zh-CN"/>
              </w:rPr>
              <w:t>（果渣、果汁）</w:t>
            </w:r>
          </w:p>
          <w:p>
            <w:pPr>
              <w:pStyle w:val="7"/>
              <w:spacing w:line="360" w:lineRule="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OPRP1</w:t>
            </w:r>
            <w:r>
              <w:rPr>
                <w:rFonts w:hint="eastAsia" w:ascii="Times New Roman" w:hAnsi="Times New Roman" w:cs="Times New Roman"/>
                <w:highlight w:val="none"/>
                <w:lang w:val="en-US" w:eastAsia="zh-CN"/>
              </w:rPr>
              <w:t>-2：原料和辅料验收（内包材）</w:t>
            </w:r>
          </w:p>
          <w:p>
            <w:pPr>
              <w:pStyle w:val="7"/>
              <w:spacing w:line="360" w:lineRule="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OPRP2</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内包</w:t>
            </w:r>
          </w:p>
          <w:p>
            <w:pPr>
              <w:pStyle w:val="7"/>
              <w:spacing w:line="360" w:lineRule="auto"/>
              <w:rPr>
                <w:sz w:val="20"/>
                <w:szCs w:val="20"/>
              </w:rPr>
            </w:pPr>
            <w:r>
              <w:rPr>
                <w:sz w:val="20"/>
                <w:szCs w:val="20"/>
                <w:highlight w:val="lightGray"/>
              </w:rPr>
              <w:t>保健食品（尖峰仁寿堂牌破壁灵芝孢子粉（粉剂））</w:t>
            </w:r>
          </w:p>
          <w:p>
            <w:pPr>
              <w:pStyle w:val="7"/>
              <w:spacing w:line="360" w:lineRule="auto"/>
              <w:rPr>
                <w:rFonts w:hint="default"/>
                <w:sz w:val="20"/>
                <w:szCs w:val="20"/>
                <w:lang w:val="en-US" w:eastAsia="zh-CN"/>
              </w:rPr>
            </w:pPr>
            <w:r>
              <w:rPr>
                <w:rFonts w:hint="default"/>
                <w:sz w:val="20"/>
                <w:szCs w:val="20"/>
                <w:lang w:val="en-US" w:eastAsia="zh-CN"/>
              </w:rPr>
              <w:t>CCP</w:t>
            </w:r>
            <w:r>
              <w:rPr>
                <w:rFonts w:hint="eastAsia"/>
                <w:sz w:val="20"/>
                <w:szCs w:val="20"/>
                <w:lang w:val="en-US" w:eastAsia="zh-CN"/>
              </w:rPr>
              <w:t>：</w:t>
            </w:r>
            <w:r>
              <w:rPr>
                <w:rFonts w:hint="default"/>
                <w:sz w:val="20"/>
                <w:szCs w:val="20"/>
                <w:lang w:val="en-US" w:eastAsia="zh-CN"/>
              </w:rPr>
              <w:t>内包</w:t>
            </w:r>
          </w:p>
          <w:p>
            <w:pPr>
              <w:pStyle w:val="7"/>
              <w:spacing w:line="360" w:lineRule="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OPRP</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原料验收</w:t>
            </w:r>
          </w:p>
          <w:p>
            <w:pPr>
              <w:pStyle w:val="7"/>
              <w:spacing w:line="360" w:lineRule="auto"/>
              <w:rPr>
                <w:sz w:val="20"/>
                <w:szCs w:val="20"/>
                <w:highlight w:val="lightGray"/>
              </w:rPr>
            </w:pPr>
            <w:r>
              <w:rPr>
                <w:sz w:val="20"/>
                <w:szCs w:val="20"/>
                <w:highlight w:val="lightGray"/>
              </w:rPr>
              <w:t>保健食品原料提取物（银杏叶提取物）</w:t>
            </w:r>
          </w:p>
          <w:p>
            <w:pPr>
              <w:pStyle w:val="7"/>
              <w:spacing w:line="360" w:lineRule="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CCP1</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喷雾干燥</w:t>
            </w:r>
          </w:p>
          <w:p>
            <w:pPr>
              <w:pStyle w:val="7"/>
              <w:spacing w:line="360" w:lineRule="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CCP2</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金属探测</w:t>
            </w:r>
          </w:p>
          <w:p>
            <w:pPr>
              <w:pStyle w:val="7"/>
              <w:spacing w:line="360" w:lineRule="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OPRP1</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原料验收</w:t>
            </w:r>
          </w:p>
          <w:p>
            <w:pPr>
              <w:pStyle w:val="7"/>
              <w:spacing w:line="360" w:lineRule="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OPRP2</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内包</w:t>
            </w:r>
          </w:p>
          <w:p>
            <w:pPr>
              <w:pStyle w:val="7"/>
              <w:spacing w:line="360" w:lineRule="auto"/>
              <w:rPr>
                <w:rFonts w:hint="default"/>
                <w:sz w:val="20"/>
                <w:szCs w:val="20"/>
                <w:highlight w:val="none"/>
                <w:lang w:val="en-US" w:eastAsia="zh-CN"/>
              </w:rPr>
            </w:pPr>
          </w:p>
          <w:p>
            <w:pPr>
              <w:pStyle w:val="7"/>
              <w:spacing w:line="360" w:lineRule="auto"/>
              <w:rPr>
                <w:rFonts w:hint="default" w:ascii="Times New Roman" w:hAnsi="Times New Roman" w:cs="Times New Roman"/>
                <w:highlight w:val="none"/>
                <w:lang w:val="en-US" w:eastAsia="zh-CN"/>
              </w:rPr>
            </w:pPr>
          </w:p>
        </w:tc>
        <w:tc>
          <w:tcPr>
            <w:tcW w:w="1470" w:type="dxa"/>
            <w:shd w:val="clear" w:color="auto" w:fill="E6E0EC" w:themeFill="accent4" w:themeFillTint="32"/>
          </w:tcPr>
          <w:p>
            <w:pPr>
              <w:rPr>
                <w:rFonts w:ascii="宋体"/>
                <w:color w:val="000000"/>
                <w:spacing w:val="-10"/>
                <w:szCs w:val="21"/>
                <w:highlight w:val="none"/>
              </w:rPr>
            </w:pPr>
            <w:r>
              <w:rPr>
                <w:rFonts w:ascii="Segoe UI Symbol" w:hAnsi="Segoe UI Symbol" w:cs="Segoe UI Symbol"/>
                <w:color w:val="000000"/>
                <w:spacing w:val="-10"/>
                <w:szCs w:val="21"/>
                <w:highlight w:val="none"/>
              </w:rPr>
              <w:t>☑</w:t>
            </w:r>
            <w:r>
              <w:rPr>
                <w:rFonts w:hint="eastAsia" w:ascii="宋体" w:hAnsi="宋体"/>
                <w:color w:val="000000"/>
                <w:szCs w:val="21"/>
                <w:highlight w:val="none"/>
              </w:rPr>
              <w:t>合理</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3" w:hRule="atLeast"/>
        </w:trPr>
        <w:tc>
          <w:tcPr>
            <w:tcW w:w="2573" w:type="dxa"/>
            <w:shd w:val="clear" w:color="auto" w:fill="E6E0EC" w:themeFill="accent4" w:themeFillTint="32"/>
            <w:vAlign w:val="center"/>
          </w:tcPr>
          <w:p>
            <w:pPr>
              <w:rPr>
                <w:rFonts w:ascii="宋体"/>
                <w:color w:val="000000"/>
                <w:szCs w:val="21"/>
                <w:highlight w:val="none"/>
              </w:rPr>
            </w:pPr>
            <w:r>
              <w:rPr>
                <w:rFonts w:hint="eastAsia" w:ascii="宋体" w:hAnsi="宋体"/>
                <w:color w:val="000000"/>
                <w:szCs w:val="21"/>
                <w:highlight w:val="none"/>
              </w:rPr>
              <w:t>关键限值（CL）</w:t>
            </w:r>
            <w:r>
              <w:rPr>
                <w:rFonts w:hint="eastAsia" w:ascii="宋体" w:hAnsi="宋体"/>
                <w:color w:val="000000"/>
                <w:szCs w:val="21"/>
                <w:highlight w:val="none"/>
                <w:lang w:val="en-US" w:eastAsia="zh-CN"/>
              </w:rPr>
              <w:t>/行动准则</w:t>
            </w:r>
            <w:r>
              <w:rPr>
                <w:rFonts w:hint="eastAsia" w:ascii="宋体" w:hAnsi="宋体"/>
                <w:color w:val="000000"/>
                <w:spacing w:val="-10"/>
                <w:szCs w:val="21"/>
                <w:highlight w:val="none"/>
              </w:rPr>
              <w:t>的识别</w:t>
            </w:r>
          </w:p>
        </w:tc>
        <w:tc>
          <w:tcPr>
            <w:tcW w:w="4490" w:type="dxa"/>
            <w:shd w:val="clear" w:color="auto" w:fill="E6E0EC" w:themeFill="accent4" w:themeFillTint="32"/>
          </w:tcPr>
          <w:p>
            <w:pPr>
              <w:pStyle w:val="7"/>
              <w:spacing w:line="360" w:lineRule="auto"/>
              <w:rPr>
                <w:rFonts w:hint="eastAsia"/>
                <w:highlight w:val="lightGray"/>
                <w:lang w:val="en-US" w:eastAsia="zh-CN"/>
              </w:rPr>
            </w:pPr>
            <w:r>
              <w:rPr>
                <w:rFonts w:hint="eastAsia"/>
                <w:highlight w:val="lightGray"/>
                <w:lang w:val="en-US" w:eastAsia="zh-CN"/>
              </w:rPr>
              <w:t>植物饮料：（EGCG&amp;N-乙酰神经氨酸液态饮）：</w:t>
            </w:r>
          </w:p>
          <w:p>
            <w:pPr>
              <w:rPr>
                <w:rFonts w:hint="eastAsia"/>
                <w:sz w:val="18"/>
                <w:szCs w:val="18"/>
              </w:rPr>
            </w:pPr>
            <w:r>
              <w:rPr>
                <w:rFonts w:hint="eastAsia"/>
                <w:sz w:val="18"/>
                <w:szCs w:val="18"/>
                <w:lang w:val="en-US" w:eastAsia="zh-CN"/>
              </w:rPr>
              <w:t>CCP——CL：</w:t>
            </w:r>
            <w:r>
              <w:rPr>
                <w:rFonts w:hint="eastAsia"/>
                <w:sz w:val="18"/>
                <w:szCs w:val="18"/>
              </w:rPr>
              <w:t>控制灭菌温度和灭菌时间：</w:t>
            </w:r>
            <w:r>
              <w:rPr>
                <w:rFonts w:hint="eastAsia"/>
                <w:sz w:val="18"/>
                <w:szCs w:val="18"/>
                <w:lang w:val="zh-CN"/>
              </w:rPr>
              <w:t>一般夏天灭菌时间</w:t>
            </w:r>
            <w:r>
              <w:rPr>
                <w:rFonts w:hint="eastAsia"/>
                <w:sz w:val="18"/>
                <w:szCs w:val="18"/>
              </w:rPr>
              <w:t>3-5分钟，冬天灭菌时间4-8分钟，确保灭菌温度在60-80℃。</w:t>
            </w:r>
          </w:p>
          <w:p>
            <w:pPr>
              <w:pStyle w:val="8"/>
              <w:pBdr>
                <w:top w:val="none" w:color="auto" w:sz="0" w:space="0"/>
                <w:left w:val="none" w:color="auto" w:sz="0" w:space="0"/>
                <w:bottom w:val="none" w:color="auto" w:sz="0" w:space="0"/>
                <w:right w:val="none" w:color="auto" w:sz="0" w:space="0"/>
              </w:pBdr>
              <w:tabs>
                <w:tab w:val="clear" w:pos="4153"/>
                <w:tab w:val="clear" w:pos="8306"/>
              </w:tabs>
              <w:snapToGrid/>
              <w:spacing w:line="240" w:lineRule="atLeast"/>
              <w:rPr>
                <w:rFonts w:hint="eastAsia" w:eastAsia="宋体"/>
                <w:lang w:val="en-US" w:eastAsia="zh-CN"/>
              </w:rPr>
            </w:pPr>
            <w:r>
              <w:rPr>
                <w:rFonts w:hint="eastAsia"/>
                <w:lang w:val="en-US" w:eastAsia="zh-CN"/>
              </w:rPr>
              <w:t>OPRP1-1——行动准则：</w:t>
            </w:r>
            <w:r>
              <w:rPr>
                <w:rFonts w:hint="eastAsia" w:cs="Times New Roman"/>
              </w:rPr>
              <w:t>1</w:t>
            </w:r>
            <w:r>
              <w:rPr>
                <w:rFonts w:hint="eastAsia" w:cs="Times New Roman"/>
                <w:lang w:eastAsia="zh-CN"/>
              </w:rPr>
              <w:t>）</w:t>
            </w:r>
            <w:r>
              <w:rPr>
                <w:rFonts w:hint="eastAsia" w:cs="Times New Roman"/>
              </w:rPr>
              <w:t>采购来自合格供方；2</w:t>
            </w:r>
            <w:r>
              <w:rPr>
                <w:rFonts w:hint="eastAsia" w:cs="Times New Roman"/>
                <w:lang w:eastAsia="zh-CN"/>
              </w:rPr>
              <w:t>）</w:t>
            </w:r>
            <w:r>
              <w:rPr>
                <w:rFonts w:hint="eastAsia" w:cs="Times New Roman"/>
              </w:rPr>
              <w:t>每年送检/供方提供的重金属、农残检测符合验收</w:t>
            </w:r>
            <w:r>
              <w:rPr>
                <w:rFonts w:hint="eastAsia" w:cs="Times New Roman"/>
                <w:lang w:val="en-US" w:eastAsia="zh-CN"/>
              </w:rPr>
              <w:t>要求</w:t>
            </w:r>
          </w:p>
          <w:p>
            <w:pPr>
              <w:pStyle w:val="8"/>
              <w:pBdr>
                <w:top w:val="none" w:color="auto" w:sz="0" w:space="0"/>
                <w:left w:val="none" w:color="auto" w:sz="0" w:space="0"/>
                <w:bottom w:val="none" w:color="auto" w:sz="0" w:space="0"/>
                <w:right w:val="none" w:color="auto" w:sz="0" w:space="0"/>
              </w:pBdr>
              <w:tabs>
                <w:tab w:val="clear" w:pos="4153"/>
                <w:tab w:val="clear" w:pos="8306"/>
              </w:tabs>
              <w:snapToGrid/>
              <w:spacing w:line="240" w:lineRule="atLeast"/>
              <w:rPr>
                <w:rFonts w:hint="eastAsia" w:cs="Times New Roman"/>
                <w:lang w:val="en-US" w:eastAsia="zh-CN"/>
              </w:rPr>
            </w:pPr>
            <w:r>
              <w:rPr>
                <w:rFonts w:hint="eastAsia"/>
                <w:lang w:val="en-US" w:eastAsia="zh-CN"/>
              </w:rPr>
              <w:t>OPRP1-2——行动准则：</w:t>
            </w:r>
            <w:r>
              <w:rPr>
                <w:rFonts w:hint="eastAsia" w:cs="Times New Roman"/>
              </w:rPr>
              <w:t>1</w:t>
            </w:r>
            <w:r>
              <w:rPr>
                <w:rFonts w:hint="eastAsia" w:cs="Times New Roman"/>
                <w:lang w:eastAsia="zh-CN"/>
              </w:rPr>
              <w:t>）</w:t>
            </w:r>
            <w:r>
              <w:rPr>
                <w:rFonts w:hint="eastAsia" w:cs="Times New Roman"/>
              </w:rPr>
              <w:t>采购来自合格供方；2</w:t>
            </w:r>
            <w:r>
              <w:rPr>
                <w:rFonts w:hint="eastAsia" w:cs="Times New Roman"/>
                <w:lang w:eastAsia="zh-CN"/>
              </w:rPr>
              <w:t>）</w:t>
            </w:r>
            <w:r>
              <w:rPr>
                <w:rFonts w:hint="eastAsia" w:cs="Times New Roman"/>
              </w:rPr>
              <w:t>每年送检/供方提供的重金属、农残检测符合验收</w:t>
            </w:r>
            <w:r>
              <w:rPr>
                <w:rFonts w:hint="eastAsia" w:cs="Times New Roman"/>
                <w:lang w:val="en-US" w:eastAsia="zh-CN"/>
              </w:rPr>
              <w:t>要求；</w:t>
            </w:r>
          </w:p>
          <w:p>
            <w:pPr>
              <w:pStyle w:val="7"/>
              <w:spacing w:line="360" w:lineRule="auto"/>
              <w:rPr>
                <w:rFonts w:hint="eastAsia" w:ascii="Times New Roman" w:hAnsi="Times New Roman" w:cs="Times New Roman"/>
                <w:highlight w:val="none"/>
                <w:lang w:val="en-US" w:eastAsia="zh-CN"/>
              </w:rPr>
            </w:pPr>
          </w:p>
          <w:p>
            <w:pPr>
              <w:pStyle w:val="7"/>
              <w:spacing w:line="360" w:lineRule="auto"/>
              <w:rPr>
                <w:rFonts w:hint="eastAsia" w:ascii="Times New Roman" w:hAnsi="Times New Roman" w:cs="Times New Roman"/>
                <w:highlight w:val="lightGray"/>
                <w:lang w:val="en-US" w:eastAsia="zh-CN"/>
              </w:rPr>
            </w:pPr>
            <w:r>
              <w:rPr>
                <w:rFonts w:hint="eastAsia" w:ascii="Times New Roman" w:hAnsi="Times New Roman" w:cs="Times New Roman"/>
                <w:highlight w:val="lightGray"/>
                <w:lang w:val="en-US" w:eastAsia="zh-CN"/>
              </w:rPr>
              <w:t>固体饮料（其他固体饮料：红景天提取物）</w:t>
            </w:r>
          </w:p>
          <w:p>
            <w:pPr>
              <w:pStyle w:val="7"/>
              <w:spacing w:line="360" w:lineRule="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CCP1</w:t>
            </w:r>
            <w:r>
              <w:rPr>
                <w:rFonts w:hint="eastAsia" w:ascii="Times New Roman" w:hAnsi="Times New Roman" w:cs="Times New Roman"/>
                <w:highlight w:val="none"/>
                <w:lang w:val="en-US" w:eastAsia="zh-CN"/>
              </w:rPr>
              <w:t>-CL:进风温度:180-210℃,出风温度:8</w:t>
            </w:r>
            <w:r>
              <w:rPr>
                <w:rFonts w:hint="eastAsia" w:cs="Times New Roman"/>
                <w:highlight w:val="none"/>
                <w:lang w:val="en-US" w:eastAsia="zh-CN"/>
              </w:rPr>
              <w:t>0</w:t>
            </w:r>
            <w:r>
              <w:rPr>
                <w:rFonts w:hint="eastAsia" w:ascii="Times New Roman" w:hAnsi="Times New Roman" w:cs="Times New Roman"/>
                <w:highlight w:val="none"/>
                <w:lang w:val="en-US" w:eastAsia="zh-CN"/>
              </w:rPr>
              <w:t>-</w:t>
            </w:r>
            <w:r>
              <w:rPr>
                <w:rFonts w:hint="eastAsia" w:cs="Times New Roman"/>
                <w:highlight w:val="none"/>
                <w:lang w:val="en-US" w:eastAsia="zh-CN"/>
              </w:rPr>
              <w:t>100</w:t>
            </w:r>
            <w:r>
              <w:rPr>
                <w:rFonts w:hint="eastAsia" w:ascii="Times New Roman" w:hAnsi="Times New Roman" w:cs="Times New Roman"/>
                <w:highlight w:val="none"/>
                <w:lang w:val="en-US" w:eastAsia="zh-CN"/>
              </w:rPr>
              <w:t>℃,进料速度：10～42HZ</w:t>
            </w:r>
          </w:p>
          <w:p>
            <w:pPr>
              <w:pStyle w:val="7"/>
              <w:spacing w:line="360" w:lineRule="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CCP2</w:t>
            </w:r>
            <w:r>
              <w:rPr>
                <w:rFonts w:hint="eastAsia" w:ascii="Times New Roman" w:hAnsi="Times New Roman" w:cs="Times New Roman"/>
                <w:highlight w:val="none"/>
                <w:lang w:val="en-US" w:eastAsia="zh-CN"/>
              </w:rPr>
              <w:t>-CL：≥3mm铁金属；≥4mm不锈钢金属全部探出</w:t>
            </w:r>
          </w:p>
          <w:p>
            <w:pPr>
              <w:pStyle w:val="7"/>
              <w:spacing w:line="360" w:lineRule="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OPRP1</w:t>
            </w:r>
            <w:r>
              <w:rPr>
                <w:rFonts w:hint="eastAsia" w:ascii="Times New Roman" w:hAnsi="Times New Roman" w:cs="Times New Roman"/>
                <w:highlight w:val="none"/>
                <w:lang w:val="en-US" w:eastAsia="zh-CN"/>
              </w:rPr>
              <w:t>——行动准则：1）采购来自合格供方；2）每年送检/供方提供的重金属、农残检测符合验收要求</w:t>
            </w:r>
          </w:p>
          <w:p>
            <w:pPr>
              <w:pStyle w:val="8"/>
              <w:pBdr>
                <w:top w:val="none" w:color="auto" w:sz="0" w:space="0"/>
                <w:left w:val="none" w:color="auto" w:sz="0" w:space="0"/>
                <w:bottom w:val="none" w:color="auto" w:sz="0" w:space="0"/>
                <w:right w:val="none" w:color="auto" w:sz="0" w:space="0"/>
              </w:pBdr>
              <w:tabs>
                <w:tab w:val="clear" w:pos="4153"/>
                <w:tab w:val="clear" w:pos="8306"/>
              </w:tabs>
              <w:snapToGrid/>
              <w:spacing w:line="240" w:lineRule="atLeast"/>
              <w:jc w:val="both"/>
              <w:rPr>
                <w:rFonts w:cs="Times New Roman"/>
              </w:rPr>
            </w:pPr>
            <w:r>
              <w:rPr>
                <w:rFonts w:hint="default" w:ascii="Times New Roman" w:hAnsi="Times New Roman" w:cs="Times New Roman"/>
                <w:highlight w:val="none"/>
                <w:lang w:val="en-US" w:eastAsia="zh-CN"/>
              </w:rPr>
              <w:t>OPRP2</w:t>
            </w:r>
            <w:r>
              <w:rPr>
                <w:rFonts w:hint="eastAsia" w:ascii="Times New Roman" w:hAnsi="Times New Roman" w:cs="Times New Roman"/>
                <w:highlight w:val="none"/>
                <w:lang w:val="en-US" w:eastAsia="zh-CN"/>
              </w:rPr>
              <w:t>——行动准则：</w:t>
            </w:r>
            <w:r>
              <w:rPr>
                <w:rFonts w:hint="eastAsia" w:cs="Times New Roman"/>
              </w:rPr>
              <w:t>内包材紫外线消杀3</w:t>
            </w:r>
            <w:r>
              <w:rPr>
                <w:rFonts w:cs="Times New Roman"/>
              </w:rPr>
              <w:t>0</w:t>
            </w:r>
            <w:r>
              <w:rPr>
                <w:rFonts w:hint="eastAsia" w:cs="Times New Roman"/>
              </w:rPr>
              <w:t>min</w:t>
            </w:r>
          </w:p>
          <w:p>
            <w:pPr>
              <w:pStyle w:val="7"/>
              <w:spacing w:line="360" w:lineRule="auto"/>
              <w:rPr>
                <w:rFonts w:hint="eastAsia" w:cs="Times New Roman"/>
              </w:rPr>
            </w:pPr>
            <w:r>
              <w:rPr>
                <w:rFonts w:hint="eastAsia" w:cs="Times New Roman"/>
              </w:rPr>
              <w:t>内包间臭氧消杀3</w:t>
            </w:r>
            <w:r>
              <w:rPr>
                <w:rFonts w:cs="Times New Roman"/>
              </w:rPr>
              <w:t>0</w:t>
            </w:r>
            <w:r>
              <w:rPr>
                <w:rFonts w:hint="eastAsia" w:cs="Times New Roman"/>
              </w:rPr>
              <w:t>min</w:t>
            </w:r>
          </w:p>
          <w:p>
            <w:pPr>
              <w:pStyle w:val="7"/>
              <w:spacing w:line="360" w:lineRule="auto"/>
              <w:rPr>
                <w:rFonts w:hint="default" w:cs="Times New Roman"/>
                <w:lang w:val="en-US" w:eastAsia="zh-CN"/>
              </w:rPr>
            </w:pPr>
          </w:p>
          <w:p>
            <w:pPr>
              <w:pStyle w:val="7"/>
              <w:spacing w:line="360" w:lineRule="auto"/>
              <w:rPr>
                <w:rFonts w:hint="eastAsia" w:ascii="Times New Roman" w:hAnsi="Times New Roman" w:cs="Times New Roman"/>
                <w:highlight w:val="lightGray"/>
                <w:lang w:val="en-US" w:eastAsia="zh-CN"/>
              </w:rPr>
            </w:pPr>
            <w:r>
              <w:rPr>
                <w:rFonts w:hint="eastAsia" w:ascii="Times New Roman" w:hAnsi="Times New Roman" w:cs="Times New Roman"/>
                <w:highlight w:val="lightGray"/>
                <w:lang w:val="en-US" w:eastAsia="zh-CN"/>
              </w:rPr>
              <w:t>固体饮料（其他固体饮料：蔓越莓提取物）</w:t>
            </w:r>
          </w:p>
          <w:p>
            <w:pPr>
              <w:pStyle w:val="7"/>
              <w:spacing w:line="360" w:lineRule="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CCP1</w:t>
            </w:r>
            <w:r>
              <w:rPr>
                <w:rFonts w:hint="eastAsia" w:ascii="Times New Roman" w:hAnsi="Times New Roman" w:cs="Times New Roman"/>
                <w:highlight w:val="none"/>
                <w:lang w:val="en-US" w:eastAsia="zh-CN"/>
              </w:rPr>
              <w:t>-CL:进风温度:180-210℃,出风温度:8</w:t>
            </w:r>
            <w:r>
              <w:rPr>
                <w:rFonts w:hint="eastAsia" w:cs="Times New Roman"/>
                <w:highlight w:val="none"/>
                <w:lang w:val="en-US" w:eastAsia="zh-CN"/>
              </w:rPr>
              <w:t>0</w:t>
            </w:r>
            <w:r>
              <w:rPr>
                <w:rFonts w:hint="eastAsia" w:ascii="Times New Roman" w:hAnsi="Times New Roman" w:cs="Times New Roman"/>
                <w:highlight w:val="none"/>
                <w:lang w:val="en-US" w:eastAsia="zh-CN"/>
              </w:rPr>
              <w:t>-</w:t>
            </w:r>
            <w:r>
              <w:rPr>
                <w:rFonts w:hint="eastAsia" w:cs="Times New Roman"/>
                <w:highlight w:val="none"/>
                <w:lang w:val="en-US" w:eastAsia="zh-CN"/>
              </w:rPr>
              <w:t>100</w:t>
            </w:r>
            <w:r>
              <w:rPr>
                <w:rFonts w:hint="eastAsia" w:ascii="Times New Roman" w:hAnsi="Times New Roman" w:cs="Times New Roman"/>
                <w:highlight w:val="none"/>
                <w:lang w:val="en-US" w:eastAsia="zh-CN"/>
              </w:rPr>
              <w:t>℃,进料速度：10～42HZ</w:t>
            </w:r>
          </w:p>
          <w:p>
            <w:pPr>
              <w:pStyle w:val="7"/>
              <w:spacing w:line="360" w:lineRule="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CCP2</w:t>
            </w:r>
            <w:r>
              <w:rPr>
                <w:rFonts w:hint="eastAsia" w:ascii="Times New Roman" w:hAnsi="Times New Roman" w:cs="Times New Roman"/>
                <w:highlight w:val="none"/>
                <w:lang w:val="en-US" w:eastAsia="zh-CN"/>
              </w:rPr>
              <w:t>-CL：≥3mm铁金属；≥4mm不锈钢金属全部探出</w:t>
            </w:r>
          </w:p>
          <w:p>
            <w:pPr>
              <w:pStyle w:val="7"/>
              <w:spacing w:line="360" w:lineRule="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OPRP1</w:t>
            </w:r>
            <w:r>
              <w:rPr>
                <w:rFonts w:hint="eastAsia" w:ascii="Times New Roman" w:hAnsi="Times New Roman" w:cs="Times New Roman"/>
                <w:highlight w:val="none"/>
                <w:lang w:val="en-US" w:eastAsia="zh-CN"/>
              </w:rPr>
              <w:t>-1：——行动准则：1）采购来自合格供方；2）每年送检/供方提供的重金属、农残检测符合验收要求</w:t>
            </w:r>
          </w:p>
          <w:p>
            <w:pPr>
              <w:pStyle w:val="7"/>
              <w:spacing w:line="360" w:lineRule="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OPRP1</w:t>
            </w:r>
            <w:r>
              <w:rPr>
                <w:rFonts w:hint="eastAsia" w:ascii="Times New Roman" w:hAnsi="Times New Roman" w:cs="Times New Roman"/>
                <w:highlight w:val="none"/>
                <w:lang w:val="en-US" w:eastAsia="zh-CN"/>
              </w:rPr>
              <w:t>-2：——行动准则：1）采购来自合格供方；2）每年送检/供方提供的重金属、农残检测符合验收要求</w:t>
            </w:r>
          </w:p>
          <w:p>
            <w:pPr>
              <w:pStyle w:val="8"/>
              <w:pBdr>
                <w:top w:val="none" w:color="auto" w:sz="0" w:space="0"/>
                <w:left w:val="none" w:color="auto" w:sz="0" w:space="0"/>
                <w:bottom w:val="none" w:color="auto" w:sz="0" w:space="0"/>
                <w:right w:val="none" w:color="auto" w:sz="0" w:space="0"/>
              </w:pBdr>
              <w:tabs>
                <w:tab w:val="clear" w:pos="4153"/>
                <w:tab w:val="clear" w:pos="8306"/>
              </w:tabs>
              <w:snapToGrid/>
              <w:spacing w:line="240" w:lineRule="atLeast"/>
              <w:jc w:val="both"/>
              <w:rPr>
                <w:rFonts w:cs="Times New Roman"/>
              </w:rPr>
            </w:pPr>
            <w:r>
              <w:rPr>
                <w:rFonts w:hint="default" w:ascii="Times New Roman" w:hAnsi="Times New Roman" w:cs="Times New Roman"/>
                <w:highlight w:val="none"/>
                <w:lang w:val="en-US" w:eastAsia="zh-CN"/>
              </w:rPr>
              <w:t>OPRP2</w:t>
            </w:r>
            <w:r>
              <w:rPr>
                <w:rFonts w:hint="eastAsia" w:ascii="Times New Roman" w:hAnsi="Times New Roman" w:cs="Times New Roman"/>
                <w:highlight w:val="none"/>
                <w:lang w:val="en-US" w:eastAsia="zh-CN"/>
              </w:rPr>
              <w:t>——行动准则：</w:t>
            </w:r>
            <w:r>
              <w:rPr>
                <w:rFonts w:hint="eastAsia" w:cs="Times New Roman"/>
              </w:rPr>
              <w:t>内包材紫外线消杀3</w:t>
            </w:r>
            <w:r>
              <w:rPr>
                <w:rFonts w:cs="Times New Roman"/>
              </w:rPr>
              <w:t>0</w:t>
            </w:r>
            <w:r>
              <w:rPr>
                <w:rFonts w:hint="eastAsia" w:cs="Times New Roman"/>
              </w:rPr>
              <w:t>min</w:t>
            </w:r>
          </w:p>
          <w:p>
            <w:pPr>
              <w:pStyle w:val="7"/>
              <w:spacing w:line="360" w:lineRule="auto"/>
              <w:rPr>
                <w:rFonts w:hint="default" w:ascii="Times New Roman" w:hAnsi="Times New Roman" w:cs="Times New Roman"/>
                <w:highlight w:val="none"/>
                <w:lang w:val="en-US" w:eastAsia="zh-CN"/>
              </w:rPr>
            </w:pPr>
            <w:r>
              <w:rPr>
                <w:rFonts w:hint="eastAsia" w:cs="Times New Roman"/>
              </w:rPr>
              <w:t>内包间臭氧消杀3</w:t>
            </w:r>
            <w:r>
              <w:rPr>
                <w:rFonts w:cs="Times New Roman"/>
              </w:rPr>
              <w:t>0</w:t>
            </w:r>
            <w:r>
              <w:rPr>
                <w:rFonts w:hint="eastAsia" w:cs="Times New Roman"/>
              </w:rPr>
              <w:t>min</w:t>
            </w:r>
          </w:p>
          <w:p>
            <w:pPr>
              <w:pStyle w:val="7"/>
              <w:spacing w:line="360" w:lineRule="auto"/>
              <w:rPr>
                <w:rFonts w:hint="default" w:ascii="Times New Roman" w:hAnsi="Times New Roman" w:cs="Times New Roman"/>
                <w:highlight w:val="none"/>
                <w:lang w:val="en-US" w:eastAsia="zh-CN"/>
              </w:rPr>
            </w:pPr>
          </w:p>
          <w:p>
            <w:pPr>
              <w:pStyle w:val="7"/>
              <w:spacing w:line="360" w:lineRule="auto"/>
              <w:rPr>
                <w:sz w:val="20"/>
                <w:szCs w:val="20"/>
              </w:rPr>
            </w:pPr>
            <w:r>
              <w:rPr>
                <w:sz w:val="20"/>
                <w:szCs w:val="20"/>
                <w:highlight w:val="lightGray"/>
              </w:rPr>
              <w:t>保健食品（尖峰仁寿堂牌破壁灵芝孢子粉（粉剂））</w:t>
            </w:r>
          </w:p>
          <w:p>
            <w:pPr>
              <w:pStyle w:val="7"/>
              <w:spacing w:line="360" w:lineRule="auto"/>
              <w:rPr>
                <w:rFonts w:hint="default"/>
                <w:sz w:val="20"/>
                <w:szCs w:val="20"/>
                <w:lang w:val="en-US" w:eastAsia="zh-CN"/>
              </w:rPr>
            </w:pPr>
            <w:r>
              <w:rPr>
                <w:rFonts w:hint="default"/>
                <w:sz w:val="20"/>
                <w:szCs w:val="20"/>
                <w:lang w:val="en-US" w:eastAsia="zh-CN"/>
              </w:rPr>
              <w:t>CCP</w:t>
            </w:r>
            <w:r>
              <w:rPr>
                <w:rFonts w:hint="eastAsia"/>
                <w:sz w:val="20"/>
                <w:szCs w:val="20"/>
                <w:lang w:val="en-US" w:eastAsia="zh-CN"/>
              </w:rPr>
              <w:t>-CL：内包材紫外线消杀30min、内包间臭氧消杀30min、每批次检测微生物指标</w:t>
            </w:r>
          </w:p>
          <w:p>
            <w:pPr>
              <w:pStyle w:val="7"/>
              <w:spacing w:line="360" w:lineRule="auto"/>
              <w:rPr>
                <w:rFonts w:hint="eastAsia" w:ascii="Times New Roman" w:hAnsi="Times New Roman" w:cs="Times New Roman"/>
                <w:highlight w:val="none"/>
                <w:lang w:val="en-US" w:eastAsia="zh-CN"/>
              </w:rPr>
            </w:pPr>
            <w:r>
              <w:rPr>
                <w:rFonts w:hint="default" w:ascii="Times New Roman" w:hAnsi="Times New Roman" w:cs="Times New Roman"/>
                <w:highlight w:val="none"/>
                <w:lang w:val="en-US" w:eastAsia="zh-CN"/>
              </w:rPr>
              <w:t>OPRP</w:t>
            </w:r>
            <w:r>
              <w:rPr>
                <w:rFonts w:hint="eastAsia" w:ascii="Times New Roman" w:hAnsi="Times New Roman" w:cs="Times New Roman"/>
                <w:highlight w:val="none"/>
                <w:lang w:val="en-US" w:eastAsia="zh-CN"/>
              </w:rPr>
              <w:t>——行动准则：1）采购来自合格供方；2）每年送检/供方提供的重金属、农残检测符合验收要求；</w:t>
            </w:r>
          </w:p>
          <w:p>
            <w:pPr>
              <w:pStyle w:val="7"/>
              <w:spacing w:line="360" w:lineRule="auto"/>
              <w:rPr>
                <w:rFonts w:hint="eastAsia" w:ascii="Times New Roman" w:hAnsi="Times New Roman" w:cs="Times New Roman"/>
                <w:highlight w:val="none"/>
                <w:lang w:val="en-US" w:eastAsia="zh-CN"/>
              </w:rPr>
            </w:pPr>
          </w:p>
          <w:p>
            <w:pPr>
              <w:pStyle w:val="7"/>
              <w:spacing w:line="360" w:lineRule="auto"/>
              <w:rPr>
                <w:sz w:val="20"/>
                <w:szCs w:val="20"/>
                <w:highlight w:val="lightGray"/>
              </w:rPr>
            </w:pPr>
            <w:r>
              <w:rPr>
                <w:sz w:val="20"/>
                <w:szCs w:val="20"/>
                <w:highlight w:val="lightGray"/>
              </w:rPr>
              <w:t>保健食品原料提取物（银杏叶提取物）</w:t>
            </w:r>
          </w:p>
          <w:p>
            <w:pPr>
              <w:pStyle w:val="7"/>
              <w:spacing w:line="360" w:lineRule="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CCP1</w:t>
            </w:r>
            <w:r>
              <w:rPr>
                <w:rFonts w:hint="eastAsia" w:ascii="Times New Roman" w:hAnsi="Times New Roman" w:cs="Times New Roman"/>
                <w:highlight w:val="none"/>
                <w:lang w:val="en-US" w:eastAsia="zh-CN"/>
              </w:rPr>
              <w:t>-CL:进风温度:180-210℃,出风温度:8</w:t>
            </w:r>
            <w:r>
              <w:rPr>
                <w:rFonts w:hint="eastAsia" w:cs="Times New Roman"/>
                <w:highlight w:val="none"/>
                <w:lang w:val="en-US" w:eastAsia="zh-CN"/>
              </w:rPr>
              <w:t>0</w:t>
            </w:r>
            <w:r>
              <w:rPr>
                <w:rFonts w:hint="eastAsia" w:ascii="Times New Roman" w:hAnsi="Times New Roman" w:cs="Times New Roman"/>
                <w:highlight w:val="none"/>
                <w:lang w:val="en-US" w:eastAsia="zh-CN"/>
              </w:rPr>
              <w:t>-</w:t>
            </w:r>
            <w:r>
              <w:rPr>
                <w:rFonts w:hint="eastAsia" w:cs="Times New Roman"/>
                <w:highlight w:val="none"/>
                <w:lang w:val="en-US" w:eastAsia="zh-CN"/>
              </w:rPr>
              <w:t>100</w:t>
            </w:r>
            <w:r>
              <w:rPr>
                <w:rFonts w:hint="eastAsia" w:ascii="Times New Roman" w:hAnsi="Times New Roman" w:cs="Times New Roman"/>
                <w:highlight w:val="none"/>
                <w:lang w:val="en-US" w:eastAsia="zh-CN"/>
              </w:rPr>
              <w:t>℃,进料速度：10～42HZ</w:t>
            </w:r>
          </w:p>
          <w:p>
            <w:pPr>
              <w:pStyle w:val="7"/>
              <w:spacing w:line="360" w:lineRule="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CCP2</w:t>
            </w:r>
            <w:r>
              <w:rPr>
                <w:rFonts w:hint="eastAsia" w:ascii="Times New Roman" w:hAnsi="Times New Roman" w:cs="Times New Roman"/>
                <w:highlight w:val="none"/>
                <w:lang w:val="en-US" w:eastAsia="zh-CN"/>
              </w:rPr>
              <w:t>-CL：≥3mm铁金属；≥4mm不锈钢金属全部探出</w:t>
            </w:r>
          </w:p>
          <w:p>
            <w:pPr>
              <w:pStyle w:val="7"/>
              <w:spacing w:line="360" w:lineRule="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OPRP1</w:t>
            </w:r>
            <w:r>
              <w:rPr>
                <w:rFonts w:hint="eastAsia" w:ascii="Times New Roman" w:hAnsi="Times New Roman" w:cs="Times New Roman"/>
                <w:highlight w:val="none"/>
                <w:lang w:val="en-US" w:eastAsia="zh-CN"/>
              </w:rPr>
              <w:t>——行动准则：1）采购来自合格供方；2）每年送检/供方提供的重金属、农残检测符合验收要求</w:t>
            </w:r>
          </w:p>
          <w:p>
            <w:pPr>
              <w:pStyle w:val="8"/>
              <w:pBdr>
                <w:top w:val="none" w:color="auto" w:sz="0" w:space="0"/>
                <w:left w:val="none" w:color="auto" w:sz="0" w:space="0"/>
                <w:bottom w:val="none" w:color="auto" w:sz="0" w:space="0"/>
                <w:right w:val="none" w:color="auto" w:sz="0" w:space="0"/>
              </w:pBdr>
              <w:tabs>
                <w:tab w:val="clear" w:pos="4153"/>
                <w:tab w:val="clear" w:pos="8306"/>
              </w:tabs>
              <w:snapToGrid/>
              <w:spacing w:line="240" w:lineRule="atLeast"/>
              <w:jc w:val="both"/>
              <w:rPr>
                <w:rFonts w:cs="Times New Roman"/>
              </w:rPr>
            </w:pPr>
            <w:r>
              <w:rPr>
                <w:rFonts w:hint="default" w:ascii="Times New Roman" w:hAnsi="Times New Roman" w:cs="Times New Roman"/>
                <w:highlight w:val="none"/>
                <w:lang w:val="en-US" w:eastAsia="zh-CN"/>
              </w:rPr>
              <w:t>OPRP2</w:t>
            </w:r>
            <w:r>
              <w:rPr>
                <w:rFonts w:hint="eastAsia" w:ascii="Times New Roman" w:hAnsi="Times New Roman" w:cs="Times New Roman"/>
                <w:highlight w:val="none"/>
                <w:lang w:val="en-US" w:eastAsia="zh-CN"/>
              </w:rPr>
              <w:t>——行动准则：</w:t>
            </w:r>
            <w:r>
              <w:rPr>
                <w:rFonts w:hint="eastAsia" w:cs="Times New Roman"/>
              </w:rPr>
              <w:t>内包材紫外线消杀3</w:t>
            </w:r>
            <w:r>
              <w:rPr>
                <w:rFonts w:cs="Times New Roman"/>
              </w:rPr>
              <w:t>0</w:t>
            </w:r>
            <w:r>
              <w:rPr>
                <w:rFonts w:hint="eastAsia" w:cs="Times New Roman"/>
              </w:rPr>
              <w:t>min</w:t>
            </w:r>
          </w:p>
          <w:p>
            <w:pPr>
              <w:pStyle w:val="7"/>
              <w:spacing w:line="360" w:lineRule="auto"/>
              <w:rPr>
                <w:rFonts w:hint="eastAsia" w:cs="Times New Roman"/>
              </w:rPr>
            </w:pPr>
            <w:r>
              <w:rPr>
                <w:rFonts w:hint="eastAsia" w:cs="Times New Roman"/>
              </w:rPr>
              <w:t>内包间臭氧消杀3</w:t>
            </w:r>
            <w:r>
              <w:rPr>
                <w:rFonts w:cs="Times New Roman"/>
              </w:rPr>
              <w:t>0</w:t>
            </w:r>
            <w:r>
              <w:rPr>
                <w:rFonts w:hint="eastAsia" w:cs="Times New Roman"/>
              </w:rPr>
              <w:t>min</w:t>
            </w:r>
          </w:p>
          <w:p>
            <w:pPr>
              <w:pStyle w:val="7"/>
              <w:spacing w:line="360" w:lineRule="auto"/>
              <w:rPr>
                <w:rFonts w:hint="default"/>
                <w:sz w:val="20"/>
                <w:szCs w:val="20"/>
                <w:highlight w:val="none"/>
                <w:lang w:val="en-US" w:eastAsia="zh-CN"/>
              </w:rPr>
            </w:pPr>
          </w:p>
          <w:p>
            <w:pPr>
              <w:pStyle w:val="8"/>
              <w:pBdr>
                <w:top w:val="none" w:color="auto" w:sz="0" w:space="0"/>
                <w:left w:val="none" w:color="auto" w:sz="0" w:space="0"/>
                <w:bottom w:val="none" w:color="auto" w:sz="0" w:space="0"/>
                <w:right w:val="none" w:color="auto" w:sz="0" w:space="0"/>
              </w:pBdr>
              <w:tabs>
                <w:tab w:val="clear" w:pos="4153"/>
                <w:tab w:val="clear" w:pos="8306"/>
              </w:tabs>
              <w:snapToGrid/>
              <w:spacing w:line="240" w:lineRule="atLeast"/>
              <w:rPr>
                <w:rFonts w:hint="eastAsia" w:cs="Times New Roman"/>
                <w:lang w:val="en-US" w:eastAsia="zh-CN"/>
              </w:rPr>
            </w:pPr>
          </w:p>
          <w:p>
            <w:pPr>
              <w:pStyle w:val="8"/>
              <w:pBdr>
                <w:top w:val="none" w:color="auto" w:sz="0" w:space="0"/>
                <w:left w:val="none" w:color="auto" w:sz="0" w:space="0"/>
                <w:bottom w:val="none" w:color="auto" w:sz="0" w:space="0"/>
                <w:right w:val="none" w:color="auto" w:sz="0" w:space="0"/>
              </w:pBdr>
              <w:tabs>
                <w:tab w:val="clear" w:pos="4153"/>
                <w:tab w:val="clear" w:pos="8306"/>
              </w:tabs>
              <w:snapToGrid/>
              <w:spacing w:line="240" w:lineRule="atLeast"/>
              <w:jc w:val="both"/>
              <w:rPr>
                <w:rFonts w:hint="eastAsia" w:cs="Times New Roman"/>
                <w:lang w:val="en-US" w:eastAsia="zh-CN"/>
              </w:rPr>
            </w:pPr>
          </w:p>
          <w:p>
            <w:pPr>
              <w:pStyle w:val="2"/>
              <w:rPr>
                <w:rFonts w:hint="eastAsia"/>
                <w:lang w:val="en-US" w:eastAsia="zh-CN"/>
              </w:rPr>
            </w:pPr>
          </w:p>
        </w:tc>
        <w:tc>
          <w:tcPr>
            <w:tcW w:w="1470" w:type="dxa"/>
            <w:shd w:val="clear" w:color="auto" w:fill="E6E0EC" w:themeFill="accent4" w:themeFillTint="32"/>
          </w:tcPr>
          <w:p>
            <w:pPr>
              <w:rPr>
                <w:rFonts w:hint="default" w:ascii="宋体" w:eastAsia="宋体"/>
                <w:color w:val="000000"/>
                <w:spacing w:val="-10"/>
                <w:szCs w:val="21"/>
                <w:highlight w:val="none"/>
                <w:lang w:val="en-US" w:eastAsia="zh-CN"/>
              </w:rPr>
            </w:pPr>
            <w:r>
              <w:rPr>
                <w:rFonts w:hint="eastAsia" w:ascii="宋体" w:hAnsi="宋体"/>
                <w:color w:val="000000"/>
                <w:spacing w:val="-10"/>
                <w:szCs w:val="21"/>
                <w:highlight w:val="none"/>
                <w:lang w:eastAsia="zh-CN"/>
              </w:rPr>
              <w:sym w:font="Wingdings 2" w:char="0052"/>
            </w:r>
            <w:r>
              <w:rPr>
                <w:rFonts w:hint="eastAsia" w:ascii="宋体" w:hAnsi="宋体"/>
                <w:color w:val="000000"/>
                <w:szCs w:val="21"/>
                <w:highlight w:val="none"/>
              </w:rPr>
              <w:t>合理</w:t>
            </w:r>
            <w:r>
              <w:rPr>
                <w:rFonts w:hint="eastAsia" w:ascii="宋体" w:hAnsi="宋体"/>
                <w:color w:val="000000"/>
                <w:szCs w:val="21"/>
                <w:highlight w:val="none"/>
                <w:lang w:val="en-US" w:eastAsia="zh-CN"/>
              </w:rPr>
              <w:t xml:space="preserve"> </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2573" w:type="dxa"/>
            <w:shd w:val="clear" w:color="auto" w:fill="E6E0EC" w:themeFill="accent4" w:themeFillTint="32"/>
            <w:vAlign w:val="center"/>
          </w:tcPr>
          <w:p>
            <w:pPr>
              <w:rPr>
                <w:rFonts w:ascii="宋体"/>
                <w:color w:val="000000"/>
                <w:spacing w:val="-10"/>
                <w:szCs w:val="21"/>
                <w:highlight w:val="none"/>
              </w:rPr>
            </w:pPr>
            <w:r>
              <w:rPr>
                <w:rFonts w:hint="eastAsia" w:ascii="宋体" w:hAnsi="宋体"/>
                <w:color w:val="000000"/>
                <w:spacing w:val="-10"/>
                <w:szCs w:val="21"/>
                <w:highlight w:val="none"/>
              </w:rPr>
              <w:t>外包过程的识别</w:t>
            </w:r>
          </w:p>
        </w:tc>
        <w:tc>
          <w:tcPr>
            <w:tcW w:w="4490" w:type="dxa"/>
            <w:shd w:val="clear" w:color="auto" w:fill="E6E0EC" w:themeFill="accent4" w:themeFillTint="32"/>
          </w:tcPr>
          <w:p>
            <w:pPr>
              <w:rPr>
                <w:rFonts w:hint="default" w:ascii="宋体" w:eastAsia="宋体"/>
                <w:color w:val="000000"/>
                <w:spacing w:val="-10"/>
                <w:szCs w:val="21"/>
                <w:highlight w:val="none"/>
                <w:lang w:val="en-US" w:eastAsia="zh-CN"/>
              </w:rPr>
            </w:pPr>
            <w:r>
              <w:rPr>
                <w:rFonts w:hint="eastAsia" w:ascii="宋体"/>
                <w:color w:val="000000"/>
                <w:spacing w:val="-10"/>
                <w:szCs w:val="21"/>
                <w:highlight w:val="none"/>
                <w:lang w:val="en-US" w:eastAsia="zh-CN"/>
              </w:rPr>
              <w:t>无，虫害消杀服务按照供方管理进行控制</w:t>
            </w:r>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合理</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2573" w:type="dxa"/>
            <w:shd w:val="clear" w:color="auto" w:fill="E6E0EC" w:themeFill="accent4" w:themeFillTint="32"/>
            <w:vAlign w:val="center"/>
          </w:tcPr>
          <w:p>
            <w:pPr>
              <w:rPr>
                <w:rFonts w:ascii="宋体" w:hAnsi="宋体"/>
                <w:color w:val="000000"/>
                <w:spacing w:val="-10"/>
                <w:szCs w:val="21"/>
                <w:highlight w:val="none"/>
              </w:rPr>
            </w:pPr>
            <w:r>
              <w:rPr>
                <w:rFonts w:hint="eastAsia" w:ascii="宋体" w:hAnsi="宋体"/>
                <w:bCs/>
                <w:sz w:val="20"/>
                <w:highlight w:val="none"/>
                <w:lang w:val="en-GB"/>
              </w:rPr>
              <w:t>食品添加剂使用的类别</w:t>
            </w:r>
          </w:p>
        </w:tc>
        <w:tc>
          <w:tcPr>
            <w:tcW w:w="4490" w:type="dxa"/>
            <w:shd w:val="clear" w:color="auto" w:fill="E6E0EC" w:themeFill="accent4" w:themeFillTint="32"/>
          </w:tcPr>
          <w:p>
            <w:pPr>
              <w:rPr>
                <w:rFonts w:ascii="宋体"/>
                <w:color w:val="000000"/>
                <w:spacing w:val="-10"/>
                <w:szCs w:val="21"/>
                <w:highlight w:val="none"/>
              </w:rPr>
            </w:pPr>
            <w:r>
              <w:rPr>
                <w:rFonts w:hint="eastAsia" w:ascii="宋体"/>
                <w:color w:val="000000"/>
                <w:spacing w:val="-10"/>
                <w:szCs w:val="21"/>
                <w:highlight w:val="none"/>
                <w:lang w:val="en-US" w:eastAsia="zh-CN"/>
              </w:rPr>
              <w:t>三氯蔗糖、木糖醇 、维生素C</w:t>
            </w:r>
            <w:r>
              <w:rPr>
                <w:rFonts w:hint="eastAsia" w:ascii="宋体"/>
                <w:color w:val="000000"/>
                <w:spacing w:val="-10"/>
                <w:szCs w:val="21"/>
                <w:highlight w:val="none"/>
              </w:rPr>
              <w:t xml:space="preserve">  </w:t>
            </w:r>
            <w:r>
              <w:rPr>
                <w:rFonts w:hint="eastAsia" w:ascii="宋体"/>
                <w:color w:val="000000"/>
                <w:spacing w:val="-10"/>
                <w:szCs w:val="21"/>
                <w:highlight w:val="none"/>
                <w:lang w:val="en-US" w:eastAsia="zh-CN"/>
              </w:rPr>
              <w:t xml:space="preserve">   </w:t>
            </w:r>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合理</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2573" w:type="dxa"/>
            <w:shd w:val="clear" w:color="auto" w:fill="E6E0EC" w:themeFill="accent4" w:themeFillTint="32"/>
            <w:vAlign w:val="center"/>
          </w:tcPr>
          <w:p>
            <w:pPr>
              <w:rPr>
                <w:rFonts w:ascii="宋体"/>
                <w:color w:val="000000"/>
                <w:spacing w:val="-10"/>
                <w:szCs w:val="21"/>
              </w:rPr>
            </w:pPr>
            <w:r>
              <w:rPr>
                <w:rFonts w:hint="eastAsia" w:ascii="宋体" w:hAnsi="宋体"/>
                <w:color w:val="000000"/>
                <w:szCs w:val="21"/>
              </w:rPr>
              <w:t>基础设施管理</w:t>
            </w:r>
          </w:p>
        </w:tc>
        <w:tc>
          <w:tcPr>
            <w:tcW w:w="4490"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hAnsi="宋体"/>
                <w:color w:val="000000"/>
                <w:szCs w:val="21"/>
              </w:rPr>
              <w:t>是否满足生产/服务的需要且完好运行</w:t>
            </w:r>
          </w:p>
        </w:tc>
        <w:tc>
          <w:tcPr>
            <w:tcW w:w="1470" w:type="dxa"/>
            <w:shd w:val="clear" w:color="auto" w:fill="E6E0EC" w:themeFill="accent4" w:themeFillTint="32"/>
          </w:tcPr>
          <w:p>
            <w:pPr>
              <w:rPr>
                <w:rFonts w:hint="default" w:ascii="宋体" w:hAnsi="宋体" w:eastAsia="宋体"/>
                <w:color w:val="000000"/>
                <w:szCs w:val="21"/>
                <w:lang w:val="en-US" w:eastAsia="zh-CN"/>
              </w:rPr>
            </w:pPr>
            <w:r>
              <w:rPr>
                <w:rFonts w:hint="eastAsia" w:ascii="宋体" w:hAnsi="宋体"/>
                <w:color w:val="000000"/>
                <w:szCs w:val="21"/>
              </w:rPr>
              <w:t>☑是</w:t>
            </w:r>
            <w:r>
              <w:rPr>
                <w:rFonts w:hint="eastAsia" w:ascii="宋体" w:hAnsi="宋体"/>
                <w:color w:val="000000"/>
                <w:szCs w:val="21"/>
                <w:lang w:val="en-US" w:eastAsia="zh-CN"/>
              </w:rPr>
              <w:t xml:space="preserve"> </w:t>
            </w:r>
          </w:p>
        </w:tc>
        <w:tc>
          <w:tcPr>
            <w:tcW w:w="1230" w:type="dxa"/>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2573" w:type="dxa"/>
            <w:shd w:val="clear" w:color="auto" w:fill="E6E0EC" w:themeFill="accent4" w:themeFillTint="32"/>
            <w:vAlign w:val="center"/>
          </w:tcPr>
          <w:p>
            <w:pPr>
              <w:rPr>
                <w:rFonts w:ascii="宋体" w:hAnsi="宋体"/>
                <w:color w:val="000000"/>
                <w:szCs w:val="21"/>
              </w:rPr>
            </w:pPr>
            <w:r>
              <w:rPr>
                <w:rFonts w:hint="eastAsia" w:ascii="宋体" w:hAnsi="宋体"/>
                <w:color w:val="000000"/>
                <w:szCs w:val="21"/>
              </w:rPr>
              <w:t>特种设备管理</w:t>
            </w:r>
          </w:p>
        </w:tc>
        <w:tc>
          <w:tcPr>
            <w:tcW w:w="4490" w:type="dxa"/>
            <w:shd w:val="clear" w:color="auto" w:fill="E6E0EC" w:themeFill="accent4"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470" w:type="dxa"/>
            <w:shd w:val="clear" w:color="auto" w:fill="E6E0EC" w:themeFill="accent4" w:themeFillTint="32"/>
          </w:tcPr>
          <w:p>
            <w:pPr>
              <w:rPr>
                <w:rFonts w:ascii="宋体" w:hAnsi="宋体"/>
                <w:color w:val="000000"/>
                <w:szCs w:val="21"/>
              </w:rPr>
            </w:pPr>
            <w:r>
              <w:rPr>
                <w:rFonts w:hint="eastAsia" w:ascii="宋体" w:hAnsi="宋体"/>
                <w:color w:val="000000"/>
                <w:szCs w:val="21"/>
                <w:lang w:eastAsia="zh-CN"/>
              </w:rPr>
              <w:sym w:font="Wingdings 2" w:char="0052"/>
            </w:r>
            <w:r>
              <w:rPr>
                <w:rFonts w:hint="eastAsia" w:ascii="宋体" w:hAnsi="宋体"/>
                <w:color w:val="000000"/>
                <w:szCs w:val="21"/>
              </w:rPr>
              <w:t xml:space="preserve">是     </w:t>
            </w:r>
          </w:p>
        </w:tc>
        <w:tc>
          <w:tcPr>
            <w:tcW w:w="1230" w:type="dxa"/>
            <w:shd w:val="clear" w:color="auto" w:fill="E6E0EC" w:themeFill="accent4" w:themeFillTint="32"/>
          </w:tcPr>
          <w:p>
            <w:pPr>
              <w:rPr>
                <w:rFonts w:hint="eastAsia" w:ascii="宋体" w:hAnsi="宋体" w:eastAsia="宋体"/>
                <w:color w:val="000000"/>
                <w:szCs w:val="21"/>
                <w:lang w:eastAsia="zh-CN"/>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2573" w:type="dxa"/>
            <w:shd w:val="clear" w:color="auto" w:fill="E6E0EC" w:themeFill="accent4" w:themeFillTint="32"/>
            <w:vAlign w:val="center"/>
          </w:tcPr>
          <w:p>
            <w:pPr>
              <w:rPr>
                <w:rFonts w:ascii="宋体"/>
                <w:color w:val="000000"/>
                <w:szCs w:val="21"/>
              </w:rPr>
            </w:pPr>
            <w:r>
              <w:rPr>
                <w:rFonts w:hint="eastAsia" w:ascii="宋体" w:hAnsi="宋体"/>
                <w:color w:val="000000"/>
                <w:szCs w:val="21"/>
              </w:rPr>
              <w:t>监视和测量资源</w:t>
            </w:r>
          </w:p>
        </w:tc>
        <w:tc>
          <w:tcPr>
            <w:tcW w:w="4490" w:type="dxa"/>
            <w:shd w:val="clear" w:color="auto" w:fill="E6E0EC" w:themeFill="accent4" w:themeFillTint="32"/>
            <w:vAlign w:val="center"/>
          </w:tcPr>
          <w:p>
            <w:pPr>
              <w:jc w:val="left"/>
              <w:rPr>
                <w:rFonts w:ascii="宋体"/>
                <w:color w:val="000000"/>
                <w:szCs w:val="21"/>
              </w:rPr>
            </w:pPr>
            <w:r>
              <w:rPr>
                <w:rFonts w:hint="eastAsia" w:ascii="宋体"/>
                <w:color w:val="000000"/>
                <w:szCs w:val="21"/>
              </w:rPr>
              <w:t>是否满足产品检测的需要</w:t>
            </w:r>
          </w:p>
        </w:tc>
        <w:tc>
          <w:tcPr>
            <w:tcW w:w="1470" w:type="dxa"/>
            <w:shd w:val="clear" w:color="auto" w:fill="E6E0EC" w:themeFill="accent4" w:themeFillTint="32"/>
          </w:tcPr>
          <w:p>
            <w:pPr>
              <w:rPr>
                <w:rFonts w:ascii="宋体"/>
                <w:color w:val="000000"/>
                <w:szCs w:val="21"/>
              </w:rPr>
            </w:pPr>
            <w:r>
              <w:rPr>
                <w:rFonts w:hint="eastAsia" w:ascii="宋体"/>
                <w:color w:val="000000"/>
                <w:szCs w:val="21"/>
                <w:lang w:eastAsia="zh-CN"/>
              </w:rPr>
              <w:sym w:font="Wingdings 2" w:char="0052"/>
            </w:r>
            <w:r>
              <w:rPr>
                <w:rFonts w:hint="eastAsia" w:ascii="宋体"/>
                <w:color w:val="000000"/>
                <w:szCs w:val="21"/>
              </w:rPr>
              <w:t>是</w:t>
            </w:r>
            <w:r>
              <w:rPr>
                <w:rFonts w:hint="eastAsia" w:ascii="宋体"/>
                <w:color w:val="000000"/>
                <w:szCs w:val="21"/>
                <w:lang w:val="en-US" w:eastAsia="zh-CN"/>
              </w:rPr>
              <w:t xml:space="preserve"> </w:t>
            </w:r>
            <w:r>
              <w:rPr>
                <w:rFonts w:hint="eastAsia" w:ascii="宋体"/>
                <w:color w:val="000000"/>
                <w:szCs w:val="21"/>
              </w:rPr>
              <w:t xml:space="preserve"> </w:t>
            </w:r>
          </w:p>
        </w:tc>
        <w:tc>
          <w:tcPr>
            <w:tcW w:w="1230" w:type="dxa"/>
            <w:shd w:val="clear" w:color="auto" w:fill="E6E0EC" w:themeFill="accent4" w:themeFillTint="32"/>
          </w:tcPr>
          <w:p>
            <w:pPr>
              <w:rPr>
                <w:rFonts w:hint="default" w:ascii="宋体"/>
                <w:color w:val="000000"/>
                <w:szCs w:val="21"/>
                <w:lang w:val="en-US"/>
              </w:rPr>
            </w:pPr>
            <w:r>
              <w:rPr>
                <w:rFonts w:hint="eastAsia" w:ascii="宋体"/>
                <w:color w:val="000000"/>
                <w:szCs w:val="21"/>
              </w:rPr>
              <w:sym w:font="Wingdings 2" w:char="00A3"/>
            </w: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573" w:type="dxa"/>
            <w:shd w:val="clear" w:color="auto" w:fill="E6E0EC" w:themeFill="accent4"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490" w:type="dxa"/>
            <w:shd w:val="clear" w:color="auto" w:fill="E6E0EC" w:themeFill="accent4" w:themeFillTint="32"/>
          </w:tcPr>
          <w:p>
            <w:pPr>
              <w:rPr>
                <w:rFonts w:ascii="宋体"/>
                <w:color w:val="000000"/>
                <w:spacing w:val="-10"/>
                <w:szCs w:val="21"/>
              </w:rPr>
            </w:pPr>
            <w:r>
              <w:rPr>
                <w:rFonts w:hint="eastAsia" w:ascii="宋体" w:hAnsi="宋体"/>
                <w:color w:val="000000"/>
                <w:szCs w:val="21"/>
              </w:rPr>
              <w:t xml:space="preserve">是否满足生产/服务食品安全的需要               </w:t>
            </w:r>
          </w:p>
        </w:tc>
        <w:tc>
          <w:tcPr>
            <w:tcW w:w="1470" w:type="dxa"/>
            <w:shd w:val="clear" w:color="auto" w:fill="E6E0EC" w:themeFill="accent4" w:themeFillTint="32"/>
          </w:tcPr>
          <w:p>
            <w:pPr>
              <w:rPr>
                <w:rFonts w:ascii="宋体" w:hAnsi="宋体"/>
                <w:color w:val="000000"/>
                <w:szCs w:val="21"/>
              </w:rPr>
            </w:pPr>
            <w:r>
              <w:rPr>
                <w:rFonts w:hint="eastAsia" w:ascii="宋体" w:hAnsi="宋体"/>
                <w:color w:val="000000"/>
                <w:szCs w:val="21"/>
              </w:rPr>
              <w:t>☑是</w:t>
            </w:r>
            <w:r>
              <w:rPr>
                <w:rFonts w:hint="eastAsia" w:ascii="宋体"/>
                <w:color w:val="000000"/>
                <w:szCs w:val="21"/>
                <w:lang w:val="en-US" w:eastAsia="zh-CN"/>
              </w:rPr>
              <w:t xml:space="preserve"> </w:t>
            </w:r>
            <w:r>
              <w:rPr>
                <w:rFonts w:hint="eastAsia" w:ascii="宋体" w:hAnsi="宋体"/>
                <w:color w:val="000000"/>
                <w:szCs w:val="21"/>
              </w:rPr>
              <w:t xml:space="preserve"> </w:t>
            </w:r>
          </w:p>
        </w:tc>
        <w:tc>
          <w:tcPr>
            <w:tcW w:w="1230" w:type="dxa"/>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763" w:type="dxa"/>
            <w:gridSpan w:val="4"/>
            <w:shd w:val="clear" w:color="auto" w:fill="E6E0EC" w:themeFill="accent4"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2573" w:type="dxa"/>
            <w:vMerge w:val="restart"/>
            <w:shd w:val="clear" w:color="auto" w:fill="E6E0EC" w:themeFill="accent4" w:themeFillTint="32"/>
          </w:tcPr>
          <w:p>
            <w:pPr>
              <w:ind w:left="-1" w:leftChars="-1" w:hanging="1"/>
              <w:jc w:val="left"/>
              <w:rPr>
                <w:rFonts w:ascii="宋体"/>
                <w:color w:val="000000"/>
                <w:spacing w:val="-10"/>
                <w:szCs w:val="21"/>
              </w:rPr>
            </w:pPr>
            <w:r>
              <w:rPr>
                <w:rFonts w:hint="eastAsia" w:ascii="宋体" w:hAnsi="宋体"/>
                <w:color w:val="000000"/>
                <w:szCs w:val="21"/>
              </w:rPr>
              <w:t>受审核方认证范围内的产品的食品安全标准，及符合性证据</w:t>
            </w:r>
          </w:p>
        </w:tc>
        <w:tc>
          <w:tcPr>
            <w:tcW w:w="449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 xml:space="preserve">☑ 产品食品安全标准                          </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2573" w:type="dxa"/>
            <w:vMerge w:val="continue"/>
            <w:shd w:val="clear" w:color="auto" w:fill="E6E0EC" w:themeFill="accent4" w:themeFillTint="32"/>
          </w:tcPr>
          <w:p>
            <w:pPr>
              <w:ind w:left="-1" w:leftChars="-1" w:hanging="1"/>
              <w:jc w:val="left"/>
              <w:rPr>
                <w:rFonts w:ascii="宋体"/>
                <w:color w:val="000000"/>
                <w:szCs w:val="21"/>
              </w:rPr>
            </w:pPr>
          </w:p>
        </w:tc>
        <w:tc>
          <w:tcPr>
            <w:tcW w:w="449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 xml:space="preserve">☑ 技术要求（合同）                  </w:t>
            </w:r>
          </w:p>
        </w:tc>
        <w:tc>
          <w:tcPr>
            <w:tcW w:w="1470"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2573" w:type="dxa"/>
            <w:vMerge w:val="continue"/>
            <w:shd w:val="clear" w:color="auto" w:fill="E6E0EC" w:themeFill="accent4" w:themeFillTint="32"/>
          </w:tcPr>
          <w:p>
            <w:pPr>
              <w:ind w:left="-1" w:leftChars="-1" w:hanging="1"/>
              <w:jc w:val="left"/>
              <w:rPr>
                <w:rFonts w:ascii="宋体"/>
                <w:color w:val="000000"/>
                <w:szCs w:val="21"/>
              </w:rPr>
            </w:pPr>
          </w:p>
        </w:tc>
        <w:tc>
          <w:tcPr>
            <w:tcW w:w="4490"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 xml:space="preserve">☑ </w:t>
            </w:r>
            <w:r>
              <w:rPr>
                <w:rFonts w:hint="eastAsia" w:ascii="宋体" w:hAnsi="宋体"/>
                <w:bCs/>
                <w:sz w:val="20"/>
                <w:lang w:val="en-GB"/>
              </w:rPr>
              <w:t>产品安全性验证证据是否齐全</w:t>
            </w:r>
            <w:r>
              <w:rPr>
                <w:rFonts w:hint="eastAsia" w:ascii="宋体"/>
                <w:color w:val="000000"/>
                <w:szCs w:val="21"/>
              </w:rPr>
              <w:t xml:space="preserve">                 </w:t>
            </w:r>
          </w:p>
        </w:tc>
        <w:tc>
          <w:tcPr>
            <w:tcW w:w="1470" w:type="dxa"/>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2573" w:type="dxa"/>
            <w:vMerge w:val="restart"/>
            <w:shd w:val="clear" w:color="auto" w:fill="E6E0EC" w:themeFill="accent4" w:themeFillTint="32"/>
          </w:tcPr>
          <w:p>
            <w:pPr>
              <w:ind w:left="168" w:leftChars="80"/>
              <w:rPr>
                <w:rFonts w:ascii="宋体"/>
                <w:color w:val="000000"/>
                <w:spacing w:val="-10"/>
                <w:szCs w:val="21"/>
              </w:rPr>
            </w:pPr>
            <w:r>
              <w:rPr>
                <w:rFonts w:hint="eastAsia" w:ascii="宋体"/>
                <w:color w:val="000000"/>
                <w:spacing w:val="-10"/>
                <w:szCs w:val="21"/>
              </w:rPr>
              <w:t>市场抽查及食品安全事故</w:t>
            </w:r>
          </w:p>
        </w:tc>
        <w:tc>
          <w:tcPr>
            <w:tcW w:w="4490" w:type="dxa"/>
            <w:shd w:val="clear" w:color="auto" w:fill="E6E0EC" w:themeFill="accent4"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470" w:type="dxa"/>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2573" w:type="dxa"/>
            <w:vMerge w:val="continue"/>
            <w:shd w:val="clear" w:color="auto" w:fill="E6E0EC" w:themeFill="accent4" w:themeFillTint="32"/>
          </w:tcPr>
          <w:p>
            <w:pPr>
              <w:ind w:left="168" w:leftChars="80"/>
              <w:rPr>
                <w:rFonts w:ascii="宋体"/>
                <w:color w:val="000000"/>
                <w:spacing w:val="-10"/>
                <w:szCs w:val="21"/>
              </w:rPr>
            </w:pPr>
          </w:p>
        </w:tc>
        <w:tc>
          <w:tcPr>
            <w:tcW w:w="4490" w:type="dxa"/>
            <w:shd w:val="clear" w:color="auto" w:fill="E6E0EC" w:themeFill="accent4" w:themeFillTint="32"/>
          </w:tcPr>
          <w:p>
            <w:pPr>
              <w:rPr>
                <w:rFonts w:ascii="宋体"/>
                <w:color w:val="000000"/>
                <w:spacing w:val="-10"/>
                <w:szCs w:val="21"/>
              </w:rPr>
            </w:pPr>
            <w:r>
              <w:rPr>
                <w:rFonts w:hint="eastAsia" w:ascii="宋体"/>
                <w:color w:val="000000"/>
                <w:szCs w:val="21"/>
              </w:rPr>
              <w:t xml:space="preserve">是否因食品安全问题受到媒体的曝光        </w:t>
            </w:r>
          </w:p>
        </w:tc>
        <w:tc>
          <w:tcPr>
            <w:tcW w:w="1470" w:type="dxa"/>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2573" w:type="dxa"/>
            <w:vMerge w:val="continue"/>
            <w:shd w:val="clear" w:color="auto" w:fill="E6E0EC" w:themeFill="accent4" w:themeFillTint="32"/>
          </w:tcPr>
          <w:p>
            <w:pPr>
              <w:rPr>
                <w:szCs w:val="21"/>
              </w:rPr>
            </w:pPr>
          </w:p>
        </w:tc>
        <w:tc>
          <w:tcPr>
            <w:tcW w:w="4490" w:type="dxa"/>
            <w:shd w:val="clear" w:color="auto" w:fill="E6E0EC" w:themeFill="accent4" w:themeFillTint="32"/>
          </w:tcPr>
          <w:p>
            <w:pPr>
              <w:rPr>
                <w:rFonts w:ascii="宋体" w:hAnsi="宋体"/>
                <w:color w:val="000000"/>
                <w:szCs w:val="21"/>
              </w:rPr>
            </w:pPr>
            <w:r>
              <w:rPr>
                <w:rFonts w:hint="eastAsia" w:ascii="宋体" w:hAnsi="宋体"/>
                <w:color w:val="000000"/>
                <w:szCs w:val="21"/>
              </w:rPr>
              <w:t xml:space="preserve">是否发生了食品安全事故/召回         </w:t>
            </w:r>
          </w:p>
        </w:tc>
        <w:tc>
          <w:tcPr>
            <w:tcW w:w="1470"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2573" w:type="dxa"/>
            <w:vMerge w:val="continue"/>
            <w:shd w:val="clear" w:color="auto" w:fill="E6E0EC" w:themeFill="accent4" w:themeFillTint="32"/>
          </w:tcPr>
          <w:p>
            <w:pPr>
              <w:rPr>
                <w:rFonts w:ascii="宋体" w:hAnsi="宋体"/>
                <w:color w:val="000000"/>
                <w:szCs w:val="21"/>
              </w:rPr>
            </w:pPr>
          </w:p>
        </w:tc>
        <w:tc>
          <w:tcPr>
            <w:tcW w:w="4490" w:type="dxa"/>
            <w:shd w:val="clear" w:color="auto" w:fill="E6E0EC" w:themeFill="accent4"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470"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2573" w:type="dxa"/>
            <w:shd w:val="clear" w:color="auto" w:fill="E6E0EC" w:themeFill="accent4" w:themeFillTint="32"/>
          </w:tcPr>
          <w:p>
            <w:pPr>
              <w:spacing w:line="360" w:lineRule="auto"/>
              <w:rPr>
                <w:rFonts w:ascii="宋体" w:hAnsi="宋体"/>
                <w:b/>
                <w:color w:val="000000"/>
                <w:sz w:val="20"/>
                <w:szCs w:val="20"/>
              </w:rPr>
            </w:pPr>
            <w:r>
              <w:rPr>
                <w:rFonts w:hint="eastAsia" w:ascii="宋体" w:hAnsi="宋体"/>
                <w:b/>
                <w:color w:val="000000"/>
                <w:sz w:val="20"/>
                <w:szCs w:val="20"/>
              </w:rPr>
              <w:t>食品安全管理体系宜重点关注</w:t>
            </w:r>
          </w:p>
          <w:p>
            <w:pPr>
              <w:spacing w:line="360" w:lineRule="auto"/>
              <w:rPr>
                <w:rFonts w:ascii="宋体" w:hAnsi="宋体"/>
                <w:b/>
                <w:color w:val="000000"/>
                <w:sz w:val="20"/>
                <w:szCs w:val="20"/>
              </w:rPr>
            </w:pPr>
          </w:p>
        </w:tc>
        <w:tc>
          <w:tcPr>
            <w:tcW w:w="7190" w:type="dxa"/>
            <w:gridSpan w:val="3"/>
            <w:shd w:val="clear" w:color="auto" w:fill="E6E0EC" w:themeFill="accent4"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 xml:space="preserve">采购过程 </w:t>
            </w:r>
            <w:r>
              <w:rPr>
                <w:rFonts w:hint="eastAsia" w:ascii="宋体" w:hAnsi="宋体"/>
                <w:color w:val="000000"/>
                <w:spacing w:val="-10"/>
                <w:szCs w:val="21"/>
                <w:lang w:eastAsia="zh-CN"/>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r>
              <w:rPr>
                <w:rFonts w:hint="eastAsia" w:ascii="宋体" w:hAnsi="宋体"/>
                <w:color w:val="000000"/>
                <w:spacing w:val="-10"/>
                <w:szCs w:val="21"/>
              </w:rPr>
              <w:sym w:font="Wingdings 2" w:char="0052"/>
            </w:r>
            <w:r>
              <w:rPr>
                <w:rFonts w:hint="eastAsia" w:ascii="宋体" w:hAnsi="宋体"/>
                <w:b/>
                <w:color w:val="000000"/>
                <w:sz w:val="20"/>
                <w:szCs w:val="20"/>
              </w:rPr>
              <w:t>运输过程</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bookmarkEnd w:id="36"/>
            <w:r>
              <w:rPr>
                <w:rFonts w:hint="eastAsia" w:ascii="宋体"/>
                <w:b/>
                <w:color w:val="000000"/>
                <w:szCs w:val="21"/>
                <w:lang w:val="en-US" w:eastAsia="zh-CN"/>
              </w:rPr>
              <w:t>2023年2月1日下午13：00</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sym w:font="Wingdings 2" w:char="0052"/>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strike/>
                <w:dstrike w:val="0"/>
                <w:color w:val="000000"/>
                <w:spacing w:val="-10"/>
                <w:szCs w:val="21"/>
              </w:rPr>
            </w:pPr>
            <w:r>
              <w:rPr>
                <w:rFonts w:hint="eastAsia" w:ascii="宋体" w:hAnsi="宋体"/>
                <w:b/>
                <w:strike/>
                <w:dstrike w:val="0"/>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strike/>
                <w:dstrike w:val="0"/>
                <w:color w:val="0000FF"/>
                <w:szCs w:val="21"/>
              </w:rPr>
            </w:pPr>
            <w:r>
              <w:rPr>
                <w:rFonts w:hint="eastAsia" w:ascii="宋体"/>
                <w:b/>
                <w:strike/>
                <w:dstrike w:val="0"/>
                <w:color w:val="0000FF"/>
                <w:szCs w:val="21"/>
              </w:rPr>
              <w:t>可能降低可靠性的障碍</w:t>
            </w:r>
          </w:p>
        </w:tc>
        <w:tc>
          <w:tcPr>
            <w:tcW w:w="7415" w:type="dxa"/>
            <w:gridSpan w:val="2"/>
            <w:tcMar>
              <w:left w:w="113" w:type="dxa"/>
            </w:tcMar>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strike/>
                <w:dstrike w:val="0"/>
                <w:color w:val="0000FF"/>
                <w:szCs w:val="21"/>
              </w:rPr>
            </w:pPr>
            <w:r>
              <w:rPr>
                <w:rFonts w:hint="eastAsia" w:ascii="宋体"/>
                <w:b/>
                <w:strike/>
                <w:dstrike w:val="0"/>
                <w:color w:val="0000FF"/>
                <w:szCs w:val="21"/>
              </w:rPr>
              <w:t>突发事件的情况</w:t>
            </w:r>
          </w:p>
        </w:tc>
        <w:tc>
          <w:tcPr>
            <w:tcW w:w="7415" w:type="dxa"/>
            <w:gridSpan w:val="2"/>
            <w:tcMar>
              <w:left w:w="113" w:type="dxa"/>
            </w:tcMar>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strike/>
                <w:dstrike w:val="0"/>
                <w:color w:val="0000FF"/>
                <w:szCs w:val="21"/>
              </w:rPr>
            </w:pPr>
            <w:r>
              <w:rPr>
                <w:rFonts w:hint="eastAsia" w:ascii="宋体"/>
                <w:b/>
                <w:strike/>
                <w:dstrike w:val="0"/>
                <w:color w:val="0000FF"/>
                <w:szCs w:val="21"/>
              </w:rPr>
              <w:t>突发事件的处置措施</w:t>
            </w:r>
          </w:p>
        </w:tc>
        <w:tc>
          <w:tcPr>
            <w:tcW w:w="7415" w:type="dxa"/>
            <w:gridSpan w:val="2"/>
            <w:tcMar>
              <w:left w:w="113" w:type="dxa"/>
            </w:tcMar>
            <w:vAlign w:val="center"/>
          </w:tcPr>
          <w:p>
            <w:pPr>
              <w:rPr>
                <w:rFonts w:ascii="宋体"/>
                <w:b/>
                <w:strike/>
                <w:dstrike w:val="0"/>
                <w:color w:val="0000FF"/>
                <w:szCs w:val="21"/>
              </w:rPr>
            </w:pPr>
            <w:r>
              <w:rPr>
                <w:rFonts w:hint="eastAsia" w:ascii="宋体"/>
                <w:b/>
                <w:strike/>
                <w:dstrike w:val="0"/>
                <w:color w:val="0000FF"/>
                <w:szCs w:val="21"/>
              </w:rPr>
              <w:t>□中止审核□终止审核□延迟审核□改为现场审核</w:t>
            </w:r>
          </w:p>
          <w:p>
            <w:pPr>
              <w:rPr>
                <w:rFonts w:ascii="宋体"/>
                <w:b/>
                <w:strike/>
                <w:dstrike w:val="0"/>
                <w:color w:val="0000FF"/>
                <w:szCs w:val="21"/>
              </w:rPr>
            </w:pPr>
            <w:r>
              <w:rPr>
                <w:rFonts w:hint="eastAsia" w:ascii="宋体"/>
                <w:b/>
                <w:strike/>
                <w:dstrike w:val="0"/>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strike/>
                <w:dstrike w:val="0"/>
                <w:color w:val="0000FF"/>
                <w:szCs w:val="21"/>
              </w:rPr>
            </w:pPr>
            <w:r>
              <w:rPr>
                <w:rFonts w:hint="eastAsia" w:ascii="宋体"/>
                <w:b/>
                <w:strike/>
                <w:dstrike w:val="0"/>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strike/>
                <w:dstrike w:val="0"/>
                <w:color w:val="0000FF"/>
                <w:szCs w:val="21"/>
              </w:rPr>
            </w:pPr>
            <w:r>
              <w:rPr>
                <w:rFonts w:hint="eastAsia" w:ascii="宋体"/>
                <w:b/>
                <w:strike/>
                <w:dstrike w:val="0"/>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sym w:font="Wingdings 2" w:char="0052"/>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240" w:lineRule="auto"/>
              <w:rPr>
                <w:rFonts w:ascii="宋体" w:hAnsi="宋体"/>
                <w:b/>
                <w:color w:val="000000"/>
                <w:szCs w:val="21"/>
              </w:rPr>
            </w:pPr>
            <w:r>
              <w:rPr>
                <w:rFonts w:hint="eastAsia"/>
                <w:sz w:val="20"/>
                <w:szCs w:val="20"/>
                <w:lang w:val="en-US" w:eastAsia="zh-CN"/>
              </w:rPr>
              <w:t>Q：</w:t>
            </w:r>
            <w:r>
              <w:rPr>
                <w:sz w:val="20"/>
                <w:szCs w:val="20"/>
              </w:rPr>
              <w:t>固体饮料（其他固体饮料：红景天提取物、蔓越莓提取物）、</w:t>
            </w:r>
            <w:r>
              <w:rPr>
                <w:sz w:val="20"/>
                <w:szCs w:val="20"/>
                <w:highlight w:val="none"/>
                <w:shd w:val="clear"/>
              </w:rPr>
              <w:t>保健食品原料提取物（银杏叶提取物）</w:t>
            </w:r>
            <w:r>
              <w:rPr>
                <w:sz w:val="20"/>
                <w:szCs w:val="20"/>
              </w:rPr>
              <w:t>、保健食品（尖峰仁寿堂牌破壁灵芝孢子粉（粉剂））、其他饮料（植物饮料）的生产</w:t>
            </w:r>
          </w:p>
        </w:tc>
        <w:tc>
          <w:tcPr>
            <w:tcW w:w="1541" w:type="dxa"/>
            <w:vAlign w:val="center"/>
          </w:tcPr>
          <w:p>
            <w:pPr>
              <w:jc w:val="left"/>
              <w:rPr>
                <w:sz w:val="20"/>
              </w:rPr>
            </w:pPr>
            <w:r>
              <w:rPr>
                <w:sz w:val="20"/>
              </w:rPr>
              <w:t>Q：03.08.03;03.08.06;03.10.07</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r>
              <w:rPr>
                <w:rFonts w:hint="eastAsia"/>
                <w:sz w:val="21"/>
                <w:szCs w:val="21"/>
                <w:highlight w:val="none"/>
                <w:lang w:val="en-US" w:eastAsia="zh-CN"/>
              </w:rPr>
              <w:t>FSMS：位于</w:t>
            </w:r>
            <w:r>
              <w:rPr>
                <w:rFonts w:hint="eastAsia"/>
                <w:sz w:val="21"/>
                <w:szCs w:val="21"/>
                <w:highlight w:val="none"/>
              </w:rPr>
              <w:t>浙江省金华市婺城新城区临江工业园西溪街96号浙江尖峰健康科技有限公司</w:t>
            </w:r>
            <w:r>
              <w:rPr>
                <w:rFonts w:hint="eastAsia"/>
                <w:sz w:val="21"/>
                <w:szCs w:val="21"/>
                <w:highlight w:val="none"/>
                <w:lang w:val="en-US" w:eastAsia="zh-CN"/>
              </w:rPr>
              <w:t>生产车间的</w:t>
            </w:r>
            <w:r>
              <w:rPr>
                <w:sz w:val="20"/>
                <w:szCs w:val="20"/>
                <w:highlight w:val="none"/>
              </w:rPr>
              <w:t>固体饮料（其他固体饮料：红景天提取物、蔓越莓提取物）、保健食品原料提取物（银杏叶提取物）</w:t>
            </w:r>
            <w:r>
              <w:rPr>
                <w:sz w:val="20"/>
                <w:szCs w:val="20"/>
              </w:rPr>
              <w:t>、保健食品（尖峰仁寿堂牌破壁灵芝孢子粉（粉剂））、其他饮料（植物饮料）的生产</w:t>
            </w:r>
          </w:p>
        </w:tc>
        <w:tc>
          <w:tcPr>
            <w:tcW w:w="1541" w:type="dxa"/>
            <w:vAlign w:val="center"/>
          </w:tcPr>
          <w:p>
            <w:pPr>
              <w:spacing w:line="400" w:lineRule="exact"/>
              <w:rPr>
                <w:rFonts w:ascii="宋体" w:hAnsi="宋体"/>
                <w:b/>
                <w:color w:val="000000"/>
                <w:szCs w:val="21"/>
              </w:rPr>
            </w:pPr>
            <w:r>
              <w:rPr>
                <w:sz w:val="20"/>
              </w:rPr>
              <w:t>F：CIV-14;CIV-4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ascii="宋体" w:hAnsi="宋体"/>
          <w:b/>
          <w:color w:val="000000"/>
          <w:szCs w:val="21"/>
        </w:rPr>
        <w:drawing>
          <wp:anchor distT="0" distB="0" distL="114300" distR="114300" simplePos="0" relativeHeight="251663360" behindDoc="1" locked="0" layoutInCell="1" allowOverlap="1">
            <wp:simplePos x="0" y="0"/>
            <wp:positionH relativeFrom="column">
              <wp:posOffset>4429760</wp:posOffset>
            </wp:positionH>
            <wp:positionV relativeFrom="paragraph">
              <wp:posOffset>359410</wp:posOffset>
            </wp:positionV>
            <wp:extent cx="628650" cy="285750"/>
            <wp:effectExtent l="0" t="0" r="0" b="0"/>
            <wp:wrapTight wrapText="bothSides">
              <wp:wrapPolygon>
                <wp:start x="0" y="0"/>
                <wp:lineTo x="0" y="20880"/>
                <wp:lineTo x="21273" y="20880"/>
                <wp:lineTo x="21273" y="0"/>
                <wp:lineTo x="0" y="0"/>
              </wp:wrapPolygon>
            </wp:wrapTight>
            <wp:docPr id="3" name="图片 3" descr="16528645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52864589(1)"/>
                    <pic:cNvPicPr>
                      <a:picLocks noChangeAspect="1"/>
                    </pic:cNvPicPr>
                  </pic:nvPicPr>
                  <pic:blipFill>
                    <a:blip r:embed="rId6"/>
                    <a:stretch>
                      <a:fillRect/>
                    </a:stretch>
                  </pic:blipFill>
                  <pic:spPr>
                    <a:xfrm>
                      <a:off x="0" y="0"/>
                      <a:ext cx="628650" cy="285750"/>
                    </a:xfrm>
                    <a:prstGeom prst="rect">
                      <a:avLst/>
                    </a:prstGeom>
                  </pic:spPr>
                </pic:pic>
              </a:graphicData>
            </a:graphic>
          </wp:anchor>
        </w:drawing>
      </w:r>
      <w:r>
        <w:rPr>
          <w:rFonts w:hint="eastAsia" w:ascii="宋体" w:hAnsi="宋体"/>
          <w:b/>
          <w:color w:val="000000"/>
          <w:szCs w:val="21"/>
          <w:lang w:val="en-US" w:eastAsia="zh-CN"/>
        </w:rPr>
        <w:drawing>
          <wp:anchor distT="0" distB="0" distL="114300" distR="114300" simplePos="0" relativeHeight="251662336" behindDoc="1" locked="0" layoutInCell="1" allowOverlap="1">
            <wp:simplePos x="0" y="0"/>
            <wp:positionH relativeFrom="column">
              <wp:posOffset>2030095</wp:posOffset>
            </wp:positionH>
            <wp:positionV relativeFrom="paragraph">
              <wp:posOffset>198755</wp:posOffset>
            </wp:positionV>
            <wp:extent cx="915670" cy="530860"/>
            <wp:effectExtent l="0" t="0" r="17780" b="31115"/>
            <wp:wrapTight wrapText="bothSides">
              <wp:wrapPolygon>
                <wp:start x="0" y="0"/>
                <wp:lineTo x="0" y="21316"/>
                <wp:lineTo x="21345" y="21316"/>
                <wp:lineTo x="21345" y="0"/>
                <wp:lineTo x="0" y="0"/>
              </wp:wrapPolygon>
            </wp:wrapTight>
            <wp:docPr id="2" name="图片 2" descr="肖新龙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肖新龙03"/>
                    <pic:cNvPicPr>
                      <a:picLocks noChangeAspect="1"/>
                    </pic:cNvPicPr>
                  </pic:nvPicPr>
                  <pic:blipFill>
                    <a:blip r:embed="rId7"/>
                    <a:stretch>
                      <a:fillRect/>
                    </a:stretch>
                  </pic:blipFill>
                  <pic:spPr>
                    <a:xfrm>
                      <a:off x="0" y="0"/>
                      <a:ext cx="915670" cy="53086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1054" w:firstLineChars="5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pPr>
      <w:r>
        <w:drawing>
          <wp:inline distT="0" distB="0" distL="114300" distR="114300">
            <wp:extent cx="5574665" cy="7038975"/>
            <wp:effectExtent l="0" t="0" r="6985"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tretch>
                      <a:fillRect/>
                    </a:stretch>
                  </pic:blipFill>
                  <pic:spPr>
                    <a:xfrm>
                      <a:off x="0" y="0"/>
                      <a:ext cx="5574665" cy="7038975"/>
                    </a:xfrm>
                    <a:prstGeom prst="rect">
                      <a:avLst/>
                    </a:prstGeom>
                    <a:noFill/>
                    <a:ln>
                      <a:noFill/>
                    </a:ln>
                  </pic:spPr>
                </pic:pic>
              </a:graphicData>
            </a:graphic>
          </wp:inline>
        </w:drawing>
      </w:r>
    </w:p>
    <w:p>
      <w:pPr>
        <w:pStyle w:val="8"/>
        <w:pBdr>
          <w:bottom w:val="none" w:color="auto" w:sz="0" w:space="0"/>
        </w:pBdr>
        <w:ind w:right="600" w:firstLine="660"/>
      </w:pPr>
    </w:p>
    <w:p>
      <w:pPr>
        <w:pStyle w:val="8"/>
        <w:pBdr>
          <w:bottom w:val="none" w:color="auto" w:sz="0" w:space="0"/>
        </w:pBdr>
        <w:ind w:right="600" w:firstLine="660"/>
      </w:pPr>
    </w:p>
    <w:p>
      <w:pPr>
        <w:pStyle w:val="8"/>
        <w:pBdr>
          <w:bottom w:val="none" w:color="auto" w:sz="0" w:space="0"/>
        </w:pBdr>
        <w:ind w:right="600" w:firstLine="660"/>
      </w:pPr>
    </w:p>
    <w:p>
      <w:pPr>
        <w:pStyle w:val="8"/>
        <w:pBdr>
          <w:bottom w:val="none" w:color="auto" w:sz="0" w:space="0"/>
        </w:pBdr>
        <w:ind w:right="600" w:firstLine="660"/>
      </w:pPr>
    </w:p>
    <w:p>
      <w:pPr>
        <w:pStyle w:val="8"/>
        <w:pBdr>
          <w:bottom w:val="none" w:color="auto" w:sz="0" w:space="0"/>
        </w:pBdr>
        <w:ind w:right="600" w:firstLine="660"/>
      </w:pPr>
    </w:p>
    <w:p>
      <w:pPr>
        <w:pStyle w:val="8"/>
        <w:pBdr>
          <w:bottom w:val="none" w:color="auto" w:sz="0" w:space="0"/>
        </w:pBdr>
        <w:ind w:right="600" w:firstLine="660"/>
      </w:pPr>
    </w:p>
    <w:p>
      <w:pPr>
        <w:pStyle w:val="8"/>
        <w:pBdr>
          <w:bottom w:val="none" w:color="auto" w:sz="0" w:space="0"/>
        </w:pBdr>
        <w:ind w:right="600" w:firstLine="660"/>
      </w:pPr>
    </w:p>
    <w:p>
      <w:pPr>
        <w:pStyle w:val="8"/>
        <w:pBdr>
          <w:bottom w:val="none" w:color="auto" w:sz="0" w:space="0"/>
        </w:pBdr>
        <w:ind w:right="600" w:firstLine="660"/>
      </w:pPr>
    </w:p>
    <w:p>
      <w:pPr>
        <w:pStyle w:val="8"/>
        <w:pBdr>
          <w:bottom w:val="none" w:color="auto" w:sz="0" w:space="0"/>
        </w:pBdr>
        <w:ind w:right="600" w:firstLine="660"/>
      </w:pPr>
    </w:p>
    <w:p>
      <w:pPr>
        <w:pStyle w:val="8"/>
        <w:pBdr>
          <w:bottom w:val="none" w:color="auto" w:sz="0" w:space="0"/>
        </w:pBdr>
        <w:ind w:right="600" w:firstLine="660"/>
      </w:pPr>
      <w:bookmarkStart w:id="37" w:name="_GoBack"/>
      <w:bookmarkEnd w:id="37"/>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2I4MGQzYmZlYjc0MTg3YzE3NjNlNzg5YWY5YjI1NjgifQ=="/>
    <w:docVar w:name="KSO_WPS_MARK_KEY" w:val="b281e872-4327-4007-bcb8-356aeb7bdfec"/>
  </w:docVars>
  <w:rsids>
    <w:rsidRoot w:val="00000000"/>
    <w:rsid w:val="01011DDB"/>
    <w:rsid w:val="197010FE"/>
    <w:rsid w:val="1B596FB3"/>
    <w:rsid w:val="29663AAC"/>
    <w:rsid w:val="3D364E58"/>
    <w:rsid w:val="4CCA42DC"/>
    <w:rsid w:val="59FC727C"/>
    <w:rsid w:val="61A74861"/>
    <w:rsid w:val="61B34998"/>
    <w:rsid w:val="758E46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paragraph" w:styleId="4">
    <w:name w:val="heading 4"/>
    <w:basedOn w:val="1"/>
    <w:next w:val="1"/>
    <w:unhideWhenUsed/>
    <w:qFormat/>
    <w:locked/>
    <w:uiPriority w:val="0"/>
    <w:pPr>
      <w:keepNext/>
      <w:keepLines/>
      <w:spacing w:before="280" w:beforeLines="0" w:beforeAutospacing="0" w:after="290" w:afterLines="0" w:afterAutospacing="0" w:line="360" w:lineRule="auto"/>
      <w:outlineLvl w:val="3"/>
    </w:pPr>
    <w:rPr>
      <w:rFonts w:ascii="Arial" w:hAnsi="Arial" w:eastAsia="宋体"/>
      <w:b/>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locked/>
    <w:uiPriority w:val="99"/>
    <w:rPr>
      <w:rFonts w:ascii="Times New Roman" w:hAnsi="Times New Roman" w:eastAsia="宋体" w:cs="Times New Roman"/>
      <w:sz w:val="18"/>
      <w:szCs w:val="18"/>
    </w:rPr>
  </w:style>
  <w:style w:type="character" w:customStyle="1" w:styleId="14">
    <w:name w:val="页脚 Char"/>
    <w:link w:val="7"/>
    <w:qFormat/>
    <w:locked/>
    <w:uiPriority w:val="99"/>
    <w:rPr>
      <w:rFonts w:ascii="Times New Roman" w:hAnsi="Times New Roman" w:eastAsia="宋体" w:cs="Times New Roman"/>
      <w:sz w:val="18"/>
      <w:szCs w:val="18"/>
    </w:rPr>
  </w:style>
  <w:style w:type="character" w:customStyle="1" w:styleId="15">
    <w:name w:val="页眉 Char"/>
    <w:link w:val="8"/>
    <w:qFormat/>
    <w:locked/>
    <w:uiPriority w:val="99"/>
    <w:rPr>
      <w:rFonts w:ascii="Calibri" w:hAnsi="Calibri" w:eastAsia="宋体" w:cs="Times New Roman"/>
      <w:sz w:val="18"/>
      <w:szCs w:val="18"/>
    </w:rPr>
  </w:style>
  <w:style w:type="character" w:customStyle="1" w:styleId="16">
    <w:name w:val="副标题 Char"/>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肖新龙</cp:lastModifiedBy>
  <dcterms:modified xsi:type="dcterms:W3CDTF">2023-02-04T08:08:13Z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2052-11.1.0.12970</vt:lpwstr>
  </property>
</Properties>
</file>