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1359-2021-2022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55"/>
        <w:gridCol w:w="1045"/>
        <w:gridCol w:w="1141"/>
        <w:gridCol w:w="1623"/>
        <w:gridCol w:w="1782"/>
        <w:gridCol w:w="1372"/>
        <w:gridCol w:w="946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39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2" w:name="_GoBack"/>
            <w:bookmarkStart w:id="1" w:name="组织名称"/>
            <w:r>
              <w:rPr>
                <w:szCs w:val="21"/>
              </w:rPr>
              <w:t>大庆市大唐电子科技有限公司</w:t>
            </w:r>
            <w:bookmarkEnd w:id="2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/管理编号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170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6591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ZC25B-4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绝缘电阻表（兆欧表）检定装置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0.2级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7442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0~1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)㎜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=0.012㎜,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量块5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等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2022.3.9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接地导通电阻测试仪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CJ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2520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A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=1.9%,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接地导通电阻测量仪检定装置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=0.07%,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2022.5.7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0102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CJ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2672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=1.0%,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=1.3%,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=1.3%,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程控耐压测试仪校准装置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=0.3%,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2022.5.7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34390" cy="231140"/>
                  <wp:effectExtent l="0" t="0" r="3810" b="12700"/>
                  <wp:docPr id="5" name="图片 2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4BC5E79"/>
    <w:rsid w:val="161F47C5"/>
    <w:rsid w:val="5A246D6F"/>
    <w:rsid w:val="78EB51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482</Words>
  <Characters>661</Characters>
  <Lines>3</Lines>
  <Paragraphs>1</Paragraphs>
  <TotalTime>3</TotalTime>
  <ScaleCrop>false</ScaleCrop>
  <LinksUpToDate>false</LinksUpToDate>
  <CharactersWithSpaces>696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2022-12-14T06:40:21Z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9676458B5C4C478AADEED2B664C8559D</vt:lpwstr>
  </property>
</Properties>
</file>