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陕西秦源工程项目管理有限公司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冷春宇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业务联系洽谈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与委托方签订工程造价咨询合同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成立项目组并制定咨询方案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调研计算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出具初步咨询结果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公司三级审核（编制人员自审、项目负责人校核修正、质量控制技术人员终审）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出具报告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征询客户反馈意见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资料归档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重要环境因素：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固体废弃物、潜在火灾。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控制措施：潜在火灾：</w:t>
            </w:r>
            <w:r>
              <w:rPr>
                <w:rFonts w:hint="eastAsia"/>
                <w:bCs/>
                <w:sz w:val="20"/>
              </w:rPr>
              <w:t>日常控制、应急预案。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固体废弃物：</w:t>
            </w:r>
            <w:r>
              <w:rPr>
                <w:rFonts w:hint="eastAsia" w:ascii="宋体" w:hAnsi="宋体"/>
                <w:sz w:val="21"/>
                <w:szCs w:val="21"/>
              </w:rPr>
              <w:t>1.购置分类箱，划分存放区域.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2.可回收类（废包材、废纸、废塑料等）由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sz w:val="21"/>
                <w:szCs w:val="21"/>
              </w:rPr>
              <w:t>统一收集给废品收购部门.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3.不可回收类（生活垃圾）办公区由公司所在地附近环卫站日清.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4.危险废物统一收集单独存放（废电池、废灯管等）由环卫部门寻找有资质的单位回收或厂家回收.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《中华人民共和国环境保护法》、《陕西省消防条例》、《</w:t>
            </w:r>
            <w:r>
              <w:rPr>
                <w:rFonts w:hint="eastAsia" w:ascii="宋体" w:hAnsi="宋体" w:cs="Times New Roman"/>
                <w:sz w:val="21"/>
                <w:szCs w:val="21"/>
                <w:lang w:val="zh-CN"/>
              </w:rPr>
              <w:t xml:space="preserve">中华人民共和国消防法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》、《河北省固体废物污染环境防治条例》、《西安市生活垃圾分类管理办法》、陕西省实施《中华人民共和国环境保护法》办法等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5080</wp:posOffset>
                  </wp:positionV>
                  <wp:extent cx="351790" cy="800735"/>
                  <wp:effectExtent l="0" t="0" r="12065" b="3810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5179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-42545</wp:posOffset>
                  </wp:positionV>
                  <wp:extent cx="269240" cy="800735"/>
                  <wp:effectExtent l="0" t="0" r="12065" b="1016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6924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陕西秦源工程项目管理有限公司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34.01.02B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34.01.02B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冷春宇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业务联系洽谈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与委托方签订工程造价咨询合同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成立项目组并制定咨询方案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调研计算</w:t>
            </w:r>
            <w:bookmarkStart w:id="1" w:name="_GoBack"/>
            <w:bookmarkEnd w:id="1"/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出具初步咨询结果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公司三级审核（编制人员自审、项目负责人校核修正、质量控制技术人员终审）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出具报告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征询客户反馈意见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资料归档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潜在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火灾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和爆炸、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触电、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交通事故伤害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主要控制措施：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危险源控制执行管理方案、制订作业指导文件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配备消防器材、日常检查、日常培训教育、应急演练等运行控制措施等。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中华人民共和国职业病防治法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女职工劳动保护特别规定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企业职工劳动安全教育规定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劳动保护用品管理规定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工伤认定办法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陕西省消防条例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-20320</wp:posOffset>
                  </wp:positionV>
                  <wp:extent cx="351790" cy="800735"/>
                  <wp:effectExtent l="0" t="0" r="12065" b="3810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5179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-52070</wp:posOffset>
                  </wp:positionV>
                  <wp:extent cx="351790" cy="800735"/>
                  <wp:effectExtent l="0" t="0" r="12065" b="3810"/>
                  <wp:wrapNone/>
                  <wp:docPr id="5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5179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77A10F2"/>
    <w:rsid w:val="0A7139CB"/>
    <w:rsid w:val="0F451083"/>
    <w:rsid w:val="0F767E4E"/>
    <w:rsid w:val="106749FD"/>
    <w:rsid w:val="20F965D0"/>
    <w:rsid w:val="2ACF7D27"/>
    <w:rsid w:val="315519B6"/>
    <w:rsid w:val="34F56A72"/>
    <w:rsid w:val="369C2F9B"/>
    <w:rsid w:val="37343EF2"/>
    <w:rsid w:val="422259EF"/>
    <w:rsid w:val="4350530C"/>
    <w:rsid w:val="44C602C6"/>
    <w:rsid w:val="48F77700"/>
    <w:rsid w:val="4E013DEC"/>
    <w:rsid w:val="562919FA"/>
    <w:rsid w:val="58FD5F53"/>
    <w:rsid w:val="60044924"/>
    <w:rsid w:val="69CF380D"/>
    <w:rsid w:val="727D5D95"/>
    <w:rsid w:val="76AB6CA5"/>
    <w:rsid w:val="7CA549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963</Words>
  <Characters>1041</Characters>
  <Lines>2</Lines>
  <Paragraphs>1</Paragraphs>
  <TotalTime>0</TotalTime>
  <ScaleCrop>false</ScaleCrop>
  <LinksUpToDate>false</LinksUpToDate>
  <CharactersWithSpaces>1044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苗</cp:lastModifiedBy>
  <dcterms:modified xsi:type="dcterms:W3CDTF">2022-12-12T07:03:03Z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