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 w:ascii="Times New Roman" w:hAnsi="Times New Roman" w:cs="Times New Roman" w:eastAsiaTheme="minor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-636270</wp:posOffset>
            </wp:positionH>
            <wp:positionV relativeFrom="paragraph">
              <wp:posOffset>-919480</wp:posOffset>
            </wp:positionV>
            <wp:extent cx="7424420" cy="10977880"/>
            <wp:effectExtent l="0" t="0" r="5080" b="7620"/>
            <wp:wrapNone/>
            <wp:docPr id="1" name="图片 1" descr="扫描全能王 2023-03-01 16.46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3-01 16.46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4420" cy="10977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0203-2019-2023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977"/>
        <w:gridCol w:w="291"/>
        <w:gridCol w:w="1084"/>
        <w:gridCol w:w="334"/>
        <w:gridCol w:w="603"/>
        <w:gridCol w:w="95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786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挥发性有机物（TVOC）在线监测系统示值误差测量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生技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2268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JJF-1172-2007-挥发性有机化合物光离子化检测仪校准规范，最大允许误差的要求，异丁烯气体最大允许误差±10%FS。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JJF-1172-2007</w:t>
            </w:r>
            <w:r>
              <w:rPr>
                <w:rFonts w:hint="eastAsia" w:ascii="Times New Roman" w:hAnsi="Times New Roman" w:cs="Times New Roman"/>
                <w:lang w:eastAsia="zh-CN"/>
              </w:rPr>
              <w:t>《</w:t>
            </w:r>
            <w:r>
              <w:rPr>
                <w:rFonts w:hint="eastAsia" w:ascii="Times New Roman" w:hAnsi="Times New Roman" w:cs="Times New Roman"/>
              </w:rPr>
              <w:t>挥发性有机化合物光离子化检测仪校准规范</w:t>
            </w:r>
            <w:r>
              <w:rPr>
                <w:rFonts w:hint="eastAsia" w:ascii="Times New Roman" w:hAnsi="Times New Roman" w:cs="Times New Roman"/>
                <w:lang w:eastAsia="zh-CN"/>
              </w:rPr>
              <w:t>》</w:t>
            </w:r>
          </w:p>
          <w:p>
            <w:pPr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U</w:t>
            </w:r>
            <w:r>
              <w:rPr>
                <w:rFonts w:hint="eastAsia"/>
                <w:color w:val="000000" w:themeColor="text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000000" w:themeColor="text1"/>
                <w:lang w:val="en-US" w:eastAsia="zh-CN"/>
              </w:rPr>
              <w:t>=</w:t>
            </w:r>
            <w:r>
              <w:rPr>
                <w:rFonts w:hint="eastAsia"/>
                <w:color w:val="000000" w:themeColor="text1"/>
              </w:rPr>
              <w:t>2%（k=2）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268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254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</w:rPr>
              <w:t>标准气体异丁烯</w:t>
            </w:r>
          </w:p>
        </w:tc>
        <w:tc>
          <w:tcPr>
            <w:tcW w:w="2544" w:type="dxa"/>
            <w:gridSpan w:val="2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1×10</w:t>
            </w:r>
            <w:r>
              <w:rPr>
                <w:rFonts w:hint="eastAsia" w:ascii="Times New Roman" w:hAnsi="Times New Roman" w:cs="Times New Roman"/>
                <w:szCs w:val="21"/>
                <w:vertAlign w:val="superscript"/>
              </w:rPr>
              <w:t>-6</w:t>
            </w:r>
            <w:r>
              <w:rPr>
                <w:rFonts w:hint="eastAsia" w:ascii="Times New Roman" w:hAnsi="Times New Roman" w:cs="Times New Roman"/>
                <w:szCs w:val="21"/>
              </w:rPr>
              <w:t>、5×10</w:t>
            </w:r>
            <w:r>
              <w:rPr>
                <w:rFonts w:hint="eastAsia" w:ascii="Times New Roman" w:hAnsi="Times New Roman" w:cs="Times New Roman"/>
                <w:szCs w:val="21"/>
                <w:vertAlign w:val="superscript"/>
              </w:rPr>
              <w:t>-6</w:t>
            </w:r>
            <w:r>
              <w:rPr>
                <w:rFonts w:hint="eastAsia" w:ascii="Times New Roman" w:hAnsi="Times New Roman" w:cs="Times New Roman"/>
                <w:szCs w:val="21"/>
              </w:rPr>
              <w:t>、100×10</w:t>
            </w:r>
            <w:r>
              <w:rPr>
                <w:rFonts w:hint="eastAsia" w:ascii="Times New Roman" w:hAnsi="Times New Roman" w:cs="Times New Roman"/>
                <w:szCs w:val="21"/>
                <w:vertAlign w:val="superscript"/>
              </w:rPr>
              <w:t>-6</w:t>
            </w:r>
            <w:r>
              <w:rPr>
                <w:rFonts w:hint="eastAsia" w:ascii="Times New Roman" w:hAnsi="Times New Roman" w:cs="Times New Roman"/>
                <w:szCs w:val="21"/>
              </w:rPr>
              <w:t>、200.00×10</w:t>
            </w:r>
            <w:r>
              <w:rPr>
                <w:rFonts w:hint="eastAsia" w:ascii="Times New Roman" w:hAnsi="Times New Roman" w:cs="Times New Roman"/>
                <w:szCs w:val="21"/>
                <w:vertAlign w:val="superscript"/>
              </w:rPr>
              <w:t>-6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U</w:t>
            </w:r>
            <w:r>
              <w:rPr>
                <w:rFonts w:hint="eastAsia"/>
                <w:color w:val="000000" w:themeColor="text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000000" w:themeColor="text1"/>
                <w:lang w:val="en-US" w:eastAsia="zh-CN"/>
              </w:rPr>
              <w:t>=</w:t>
            </w:r>
            <w:r>
              <w:rPr>
                <w:rFonts w:hint="eastAsia"/>
                <w:color w:val="000000" w:themeColor="text1"/>
              </w:rPr>
              <w:t>2%（k=2）</w:t>
            </w:r>
          </w:p>
        </w:tc>
        <w:tc>
          <w:tcPr>
            <w:tcW w:w="937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956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lang w:val="en-US" w:eastAsia="zh-CN"/>
              </w:rPr>
              <w:t>QXPC</w:t>
            </w:r>
            <w:r>
              <w:rPr>
                <w:rFonts w:hint="eastAsia" w:ascii="宋体" w:hAnsi="宋体"/>
              </w:rPr>
              <w:t>/QR-4.0</w:t>
            </w:r>
          </w:p>
        </w:tc>
        <w:tc>
          <w:tcPr>
            <w:tcW w:w="1418" w:type="dxa"/>
          </w:tcPr>
          <w:p>
            <w:pPr>
              <w:ind w:firstLine="420" w:firstLineChars="2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cs="Calibri"/>
                <w:color w:val="000000"/>
                <w:szCs w:val="21"/>
              </w:rPr>
              <w:t>JJF-1172-2007</w:t>
            </w:r>
          </w:p>
        </w:tc>
        <w:tc>
          <w:tcPr>
            <w:tcW w:w="1418" w:type="dxa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温度（-10</w:t>
            </w:r>
            <w:r>
              <w:rPr>
                <w:rFonts w:hint="eastAsia" w:ascii="宋体" w:hAnsi="宋体" w:eastAsia="宋体" w:cs="Times New Roman"/>
              </w:rPr>
              <w:t>～45</w:t>
            </w:r>
            <w:r>
              <w:rPr>
                <w:rFonts w:hint="eastAsia" w:ascii="Times New Roman" w:hAnsi="Times New Roman" w:cs="Times New Roman"/>
              </w:rPr>
              <w:t>）</w:t>
            </w:r>
            <w:r>
              <w:rPr>
                <w:rFonts w:hint="eastAsia" w:cs="Times New Roman" w:asciiTheme="minorEastAsia" w:hAnsiTheme="minorEastAsia"/>
              </w:rPr>
              <w:t>℃</w:t>
            </w:r>
            <w:r>
              <w:rPr>
                <w:rFonts w:hint="eastAsia" w:ascii="Times New Roman" w:hAnsi="Times New Roman" w:cs="Times New Roman"/>
              </w:rPr>
              <w:t>，湿度</w:t>
            </w:r>
            <w:r>
              <w:rPr>
                <w:rFonts w:cs="Calibri"/>
                <w:color w:val="000000"/>
                <w:szCs w:val="21"/>
              </w:rPr>
              <w:t>0% ~ 95% RH(</w:t>
            </w:r>
            <w:r>
              <w:rPr>
                <w:rFonts w:hint="eastAsia" w:ascii="宋体" w:cs="宋体"/>
                <w:color w:val="000000"/>
                <w:szCs w:val="21"/>
              </w:rPr>
              <w:t>无冷凝</w:t>
            </w:r>
            <w:r>
              <w:rPr>
                <w:rFonts w:cs="Calibri"/>
                <w:color w:val="000000"/>
                <w:szCs w:val="21"/>
              </w:rPr>
              <w:t>)</w:t>
            </w:r>
            <w:r>
              <w:rPr>
                <w:rFonts w:hint="eastAsia" w:ascii="Times New Roman" w:hAnsi="Times New Roman" w:cs="Times New Roman"/>
              </w:rPr>
              <w:t>，</w:t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大气压（</w:t>
            </w:r>
            <w:r>
              <w:rPr>
                <w:rFonts w:hint="eastAsia" w:ascii="宋体" w:hAnsi="宋体"/>
                <w:szCs w:val="21"/>
              </w:rPr>
              <w:t>(86</w:t>
            </w:r>
            <w:r>
              <w:rPr>
                <w:rFonts w:ascii="宋体" w:hAnsi="宋体"/>
                <w:szCs w:val="21"/>
              </w:rPr>
              <w:t>-106)kPa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湛云云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>．测量过程控制规范编制满足要求；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2. 测量过程要素如，测量设备、测量方法、环境条件、操作人员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培训上岗</w:t>
            </w:r>
            <w:r>
              <w:rPr>
                <w:rFonts w:hint="eastAsia" w:ascii="Times New Roman" w:hAnsi="Times New Roman"/>
                <w:szCs w:val="21"/>
              </w:rPr>
              <w:t>技能受控；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3. 测量过程不确定度评定方法正确；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5. 测量过程监视在控制限内，测量过程控制图绘制方法正确。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2023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Cs w:val="21"/>
        </w:rPr>
        <w:t xml:space="preserve">日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11946C5"/>
    <w:rsid w:val="3953694E"/>
    <w:rsid w:val="5FB80C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1</TotalTime>
  <ScaleCrop>false</ScaleCrop>
  <LinksUpToDate>false</LinksUpToDate>
  <CharactersWithSpaces>565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2023-03-05T15:45:46Z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18ABBF9BF44949F4A97A708B7E327618</vt:lpwstr>
  </property>
</Properties>
</file>