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-839470</wp:posOffset>
            </wp:positionV>
            <wp:extent cx="7355840" cy="10439400"/>
            <wp:effectExtent l="0" t="0" r="10160" b="0"/>
            <wp:wrapNone/>
            <wp:docPr id="1" name="图片 1" descr="扫描全能王 2023-02-23 15.2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3 15.23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584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0205-2019-2023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无锡康宇水处理设备有限公司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季婷婷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1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查，测量设备台账，未进行分类管理，计量设备信息不全。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GB/T19022-2003标准6.3.1条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tabs>
                <w:tab w:val="left" w:pos="3721"/>
              </w:tabs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对公司的计量设备经梳理，将相关信息造册，进行分类，实施计量器具ABC类管理。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2E1A2C"/>
    <w:rsid w:val="739B7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19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2023-02-23T08:08:34Z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2B0C523CDA5649E2A711368CF8F7511B</vt:lpwstr>
  </property>
</Properties>
</file>