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1192-2021-2022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950"/>
        <w:gridCol w:w="1208"/>
        <w:gridCol w:w="1710"/>
        <w:gridCol w:w="1420"/>
        <w:gridCol w:w="1580"/>
        <w:gridCol w:w="1100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2" w:name="_GoBack"/>
            <w:bookmarkStart w:id="1" w:name="组织名称"/>
            <w:r>
              <w:rPr>
                <w:szCs w:val="21"/>
              </w:rPr>
              <w:t>大庆市华禹石油机械制造有限公司</w:t>
            </w:r>
            <w:bookmarkEnd w:id="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电容电感测试仪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158760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NDCL-Ⅲ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电容: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=0.2%,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  <w:p>
            <w:pPr>
              <w:rPr>
                <w:rFonts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电感: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=0.2%,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十进式电感箱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=0.06%,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2022.11.22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041722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(0~25)㎜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1.1μm,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量块4等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苏州方圆仪器设备校准检测服务有限公司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2022.5.10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洛氏硬度计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19LRHR20021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HR-150A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=0.5HRC,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洛氏硬度块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=(0.3~0.5)HR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苏州方圆仪器设备校准检测服务有限公司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2022.5.10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万能角度尺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824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(0~320)°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′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=1′,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苏州方圆仪器设备校准检测服务有限公司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2022.5.10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8966235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(0~300)㎜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Cs/>
                <w:snapToGrid w:val="0"/>
                <w:kern w:val="0"/>
                <w:sz w:val="18"/>
                <w:szCs w:val="18"/>
              </w:rPr>
              <w:t>=0.02㎜,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kern w:val="0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=2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4等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2022.6.8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最高计量标准，测量设备由质检部负责溯源。公司测量设备全部委托苏州方圆仪器设备校准检测服务有限公司、深圳中电计量测试技术有限公司检定/校准，校准/检定证书由质检部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日期：2022年12月10日全天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drawing>
                <wp:inline distT="0" distB="0" distL="114300" distR="114300">
                  <wp:extent cx="443230" cy="222885"/>
                  <wp:effectExtent l="0" t="0" r="13970" b="5715"/>
                  <wp:docPr id="5" name="图片 25" descr="C:/Users/A/AppData/Local/Temp/picturecompress_202111231648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5" descr="C:/Users/A/AppData/Local/Temp/picturecompress_202111231648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4348" t="67255" r="33478" b="2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A55C3C"/>
    <w:rsid w:val="00386A93"/>
    <w:rsid w:val="006100E1"/>
    <w:rsid w:val="00A55C3C"/>
    <w:rsid w:val="13E02BE5"/>
    <w:rsid w:val="3A6B3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499</Words>
  <Characters>700</Characters>
  <Lines>5</Lines>
  <Paragraphs>1</Paragraphs>
  <TotalTime>1</TotalTime>
  <ScaleCrop>false</ScaleCrop>
  <LinksUpToDate>false</LinksUpToDate>
  <CharactersWithSpaces>731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2022-12-10T07:25:51Z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479C34F4ED064C089F516BBD95EE8A70</vt:lpwstr>
  </property>
</Properties>
</file>