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江苏德高物联技术有限公司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0016-2018-2020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0016-2018-2020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numPr>
          <w:ilvl w:val="0"/>
          <w:numId w:val="1"/>
        </w:numPr>
        <w:spacing w:line="360" w:lineRule="auto"/>
        <w:rPr>
          <w:rFonts w:hint="eastAsia" w:cs="宋体" w:asciiTheme="minorEastAsia" w:hAnsiTheme="minorEastAsia"/>
          <w:b/>
          <w:bCs/>
          <w:kern w:val="0"/>
          <w:szCs w:val="21"/>
        </w:rPr>
      </w:pPr>
      <w:r>
        <w:rPr>
          <w:rFonts w:hint="eastAsia" w:cs="宋体" w:asciiTheme="minorEastAsia" w:hAnsiTheme="minorEastAsia"/>
          <w:b/>
          <w:bCs/>
          <w:kern w:val="0"/>
          <w:szCs w:val="21"/>
        </w:rPr>
        <w:t>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3007"/>
        <w:gridCol w:w="2090"/>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企业</w:t>
            </w:r>
            <w:r>
              <w:rPr>
                <w:rFonts w:cs="宋体" w:asciiTheme="minorEastAsia" w:hAnsiTheme="minorEastAsia"/>
                <w:kern w:val="0"/>
                <w:szCs w:val="21"/>
              </w:rPr>
              <w:t>名称</w:t>
            </w:r>
          </w:p>
        </w:tc>
        <w:tc>
          <w:tcPr>
            <w:tcW w:w="300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szCs w:val="21"/>
              </w:rPr>
              <w:t>江苏德高物联技术有限公司</w:t>
            </w:r>
          </w:p>
        </w:tc>
        <w:tc>
          <w:tcPr>
            <w:tcW w:w="209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51" w:type="dxa"/>
          </w:tcPr>
          <w:p>
            <w:pPr>
              <w:tabs>
                <w:tab w:val="left" w:pos="880"/>
              </w:tabs>
              <w:autoSpaceDE w:val="0"/>
              <w:autoSpaceDN w:val="0"/>
              <w:adjustRightInd w:val="0"/>
              <w:spacing w:before="35" w:line="360" w:lineRule="auto"/>
              <w:ind w:right="161" w:firstLine="210" w:firstLineChars="100"/>
              <w:rPr>
                <w:rFonts w:hint="default" w:cs="宋体" w:asciiTheme="minorEastAsia" w:hAnsiTheme="minorEastAsia"/>
                <w:kern w:val="0"/>
                <w:szCs w:val="21"/>
                <w:lang w:val="en-US" w:eastAsia="zh-CN"/>
              </w:rPr>
            </w:pPr>
            <w:r>
              <w:rPr>
                <w:rFonts w:hint="eastAsia" w:ascii="宋体" w:hAnsi="宋体"/>
                <w:bCs/>
                <w:szCs w:val="21"/>
                <w:lang w:val="en-US" w:eastAsia="zh-CN"/>
              </w:rPr>
              <w:t>王培培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07" w:type="dxa"/>
          </w:tcPr>
          <w:p>
            <w:pPr>
              <w:tabs>
                <w:tab w:val="left" w:pos="880"/>
              </w:tabs>
              <w:autoSpaceDE w:val="0"/>
              <w:autoSpaceDN w:val="0"/>
              <w:adjustRightInd w:val="0"/>
              <w:spacing w:before="35" w:line="360" w:lineRule="auto"/>
              <w:ind w:right="161" w:firstLine="210" w:firstLineChars="100"/>
              <w:rPr>
                <w:rFonts w:hint="eastAsia" w:cs="宋体" w:asciiTheme="minorEastAsia" w:hAnsiTheme="minorEastAsia"/>
                <w:kern w:val="0"/>
                <w:szCs w:val="21"/>
                <w:lang w:val="en-US" w:eastAsia="zh-CN"/>
              </w:rPr>
            </w:pPr>
            <w:r>
              <w:rPr>
                <w:rFonts w:cs="宋体" w:asciiTheme="minorEastAsia" w:hAnsiTheme="minorEastAsia"/>
                <w:kern w:val="0"/>
                <w:szCs w:val="21"/>
              </w:rPr>
              <w:t>ISC-</w:t>
            </w:r>
            <w:r>
              <w:rPr>
                <w:rFonts w:hint="eastAsia" w:cs="宋体" w:asciiTheme="minorEastAsia" w:hAnsiTheme="minorEastAsia"/>
                <w:kern w:val="0"/>
                <w:szCs w:val="21"/>
                <w:lang w:val="en-US" w:eastAsia="zh-CN"/>
              </w:rPr>
              <w:t>2018-0218</w:t>
            </w:r>
          </w:p>
        </w:tc>
        <w:tc>
          <w:tcPr>
            <w:tcW w:w="209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5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年0</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01</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07" w:type="dxa"/>
          </w:tcPr>
          <w:p>
            <w:pPr>
              <w:tabs>
                <w:tab w:val="left" w:pos="880"/>
              </w:tabs>
              <w:autoSpaceDE w:val="0"/>
              <w:autoSpaceDN w:val="0"/>
              <w:adjustRightInd w:val="0"/>
              <w:spacing w:before="35" w:line="360" w:lineRule="auto"/>
              <w:ind w:right="161" w:firstLine="210" w:firstLineChars="100"/>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次监督审核</w:t>
            </w:r>
          </w:p>
        </w:tc>
        <w:tc>
          <w:tcPr>
            <w:tcW w:w="209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kern w:val="0"/>
                <w:szCs w:val="21"/>
              </w:rPr>
              <w:t>时间</w:t>
            </w:r>
          </w:p>
        </w:tc>
        <w:tc>
          <w:tcPr>
            <w:tcW w:w="2451"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color w:val="FF0000"/>
                <w:kern w:val="0"/>
                <w:szCs w:val="21"/>
                <w:lang w:val="en-US" w:eastAsia="zh-CN"/>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8日-1月9日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672" w:type="dxa"/>
          </w:tcPr>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07" w:type="dxa"/>
          </w:tcPr>
          <w:p>
            <w:pPr>
              <w:tabs>
                <w:tab w:val="left" w:pos="880"/>
              </w:tabs>
              <w:autoSpaceDE w:val="0"/>
              <w:autoSpaceDN w:val="0"/>
              <w:adjustRightInd w:val="0"/>
              <w:spacing w:before="35" w:line="360" w:lineRule="auto"/>
              <w:ind w:right="161" w:firstLine="210" w:firstLineChars="100"/>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360" w:lineRule="auto"/>
              <w:ind w:right="161"/>
              <w:rPr>
                <w:rFonts w:ascii="宋体" w:hAnsi="宋体"/>
                <w:color w:val="FF0000"/>
                <w:szCs w:val="21"/>
              </w:rPr>
            </w:pPr>
          </w:p>
        </w:tc>
        <w:tc>
          <w:tcPr>
            <w:tcW w:w="209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51" w:type="dxa"/>
          </w:tcPr>
          <w:p>
            <w:pPr>
              <w:tabs>
                <w:tab w:val="left" w:pos="880"/>
              </w:tabs>
              <w:autoSpaceDE w:val="0"/>
              <w:autoSpaceDN w:val="0"/>
              <w:adjustRightInd w:val="0"/>
              <w:spacing w:before="35" w:line="360" w:lineRule="auto"/>
              <w:ind w:right="161"/>
              <w:rPr>
                <w:rFonts w:hint="eastAsia" w:cs="宋体" w:asciiTheme="minorEastAsia" w:hAnsiTheme="minorEastAsia"/>
                <w:bCs/>
                <w:kern w:val="0"/>
                <w:szCs w:val="21"/>
                <w:lang w:eastAsia="zh-CN"/>
              </w:rPr>
            </w:pPr>
            <w:r>
              <w:rPr>
                <w:rFonts w:hint="eastAsia" w:ascii="宋体"/>
                <w:lang w:val="en-US" w:eastAsia="zh-CN"/>
              </w:rPr>
              <w:t>质检</w:t>
            </w:r>
            <w:r>
              <w:rPr>
                <w:rFonts w:hint="eastAsia" w:ascii="宋体"/>
              </w:rPr>
              <w:t>部</w:t>
            </w:r>
            <w:r>
              <w:rPr>
                <w:rFonts w:hint="eastAsia" w:cs="宋体" w:asciiTheme="minorEastAsia" w:hAnsiTheme="minorEastAsia"/>
                <w:bCs/>
                <w:kern w:val="0"/>
                <w:szCs w:val="21"/>
                <w:lang w:eastAsia="zh-CN"/>
              </w:rPr>
              <w:t>、</w:t>
            </w:r>
            <w:r>
              <w:rPr>
                <w:rFonts w:hint="eastAsia" w:ascii="宋体"/>
                <w:bCs/>
                <w:lang w:val="en-US" w:eastAsia="zh-CN"/>
              </w:rPr>
              <w:t>人事</w:t>
            </w:r>
            <w:r>
              <w:rPr>
                <w:rFonts w:hint="eastAsia" w:ascii="宋体"/>
                <w:bCs/>
                <w:lang w:eastAsia="zh-CN"/>
              </w:rPr>
              <w:t>行政</w:t>
            </w:r>
            <w:r>
              <w:rPr>
                <w:rFonts w:hint="eastAsia" w:ascii="宋体"/>
                <w:bCs/>
              </w:rPr>
              <w:t>部</w:t>
            </w:r>
            <w:r>
              <w:rPr>
                <w:rFonts w:hint="eastAsia" w:cs="宋体" w:asciiTheme="minorEastAsia" w:hAnsiTheme="minorEastAsia"/>
                <w:bCs/>
                <w:kern w:val="0"/>
                <w:szCs w:val="21"/>
                <w:lang w:eastAsia="zh-CN"/>
              </w:rPr>
              <w:t>、</w:t>
            </w:r>
          </w:p>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ascii="宋体"/>
                <w:bCs/>
                <w:lang w:eastAsia="zh-CN"/>
              </w:rPr>
              <w:t>生产</w:t>
            </w:r>
            <w:r>
              <w:rPr>
                <w:rFonts w:hint="eastAsia" w:ascii="宋体"/>
                <w:bCs/>
              </w:rPr>
              <w:t>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销售</w:t>
            </w:r>
            <w:r>
              <w:rPr>
                <w:rFonts w:hint="eastAsia" w:ascii="宋体"/>
                <w:bCs/>
                <w:lang w:val="en-US" w:eastAsia="zh-CN"/>
              </w:rPr>
              <w:t>部</w:t>
            </w:r>
          </w:p>
        </w:tc>
      </w:tr>
    </w:tbl>
    <w:p>
      <w:pPr>
        <w:widowControl/>
        <w:numPr>
          <w:ilvl w:val="0"/>
          <w:numId w:val="0"/>
        </w:numPr>
        <w:spacing w:line="360" w:lineRule="auto"/>
        <w:jc w:val="both"/>
        <w:rPr>
          <w:rFonts w:hint="eastAsia" w:cs="宋体" w:asciiTheme="minorEastAsia" w:hAnsiTheme="minorEastAsia"/>
          <w:b/>
          <w:bCs/>
          <w:kern w:val="0"/>
          <w:szCs w:val="21"/>
        </w:rPr>
      </w:pP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pStyle w:val="9"/>
        <w:widowControl/>
        <w:numPr>
          <w:ilvl w:val="0"/>
          <w:numId w:val="2"/>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rPr>
          <w:rFonts w:hint="eastAsia" w:cs="宋体" w:asciiTheme="minorEastAsia" w:hAnsiTheme="minorEastAsia" w:eastAsiaTheme="minorEastAsia"/>
          <w:bCs/>
          <w:kern w:val="0"/>
          <w:szCs w:val="21"/>
          <w:lang w:eastAsia="zh-CN"/>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pStyle w:val="9"/>
        <w:widowControl/>
        <w:numPr>
          <w:ilvl w:val="0"/>
          <w:numId w:val="2"/>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hint="eastAsia" w:ascii="宋体" w:hAnsi="宋体" w:cs="宋体"/>
          <w:kern w:val="0"/>
          <w:szCs w:val="21"/>
          <w:lang w:eastAsia="zh-CN"/>
        </w:rPr>
      </w:pPr>
      <w:r>
        <w:rPr>
          <w:rFonts w:hint="eastAsia" w:cs="宋体" w:asciiTheme="minorEastAsia" w:hAnsiTheme="minorEastAsia"/>
          <w:bCs/>
          <w:kern w:val="0"/>
          <w:szCs w:val="21"/>
        </w:rPr>
        <w:t>为有效评价公司测量管理体系认证后</w:t>
      </w:r>
      <w:r>
        <w:rPr>
          <w:rFonts w:hint="eastAsia" w:cs="宋体" w:asciiTheme="minorEastAsia" w:hAnsiTheme="minorEastAsia"/>
          <w:bCs/>
          <w:kern w:val="0"/>
          <w:szCs w:val="21"/>
          <w:lang w:val="en-US" w:eastAsia="zh-CN"/>
        </w:rPr>
        <w:t>两</w:t>
      </w:r>
      <w:r>
        <w:rPr>
          <w:rFonts w:hint="eastAsia" w:cs="宋体" w:asciiTheme="minorEastAsia" w:hAnsiTheme="minorEastAsia"/>
          <w:bCs/>
          <w:kern w:val="0"/>
          <w:szCs w:val="21"/>
        </w:rPr>
        <w:t>年以来运行情况，20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8日-1月9日</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个职能部门，该企业不是重点耗能单位，企业的能源计量器具的配备率及准确度等级均满足G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涉及公司生产、质量、安全和环境管理等。为有效评价公司体系运行的质量，审核组重点检查了公司计量特征突出的重要环节电磁线圈接地电阻测量等测量过程，掌握了企业测量管理体系的运行状况和品质。</w:t>
      </w:r>
    </w:p>
    <w:p>
      <w:pPr>
        <w:widowControl/>
        <w:spacing w:line="400" w:lineRule="exact"/>
        <w:ind w:firstLine="420" w:firstLineChars="200"/>
        <w:rPr>
          <w:rFonts w:hint="eastAsia" w:ascii="宋体" w:hAnsi="宋体"/>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440" w:lineRule="exact"/>
        <w:rPr>
          <w:rFonts w:cs="宋体" w:asciiTheme="minorEastAsia" w:hAnsiTheme="minorEastAsia"/>
          <w:bCs/>
          <w:kern w:val="0"/>
          <w:szCs w:val="21"/>
        </w:rPr>
      </w:pPr>
      <w:r>
        <w:rPr>
          <w:rFonts w:hint="eastAsia" w:cs="宋体" w:asciiTheme="minorEastAsia" w:hAnsiTheme="minorEastAsia"/>
          <w:bCs/>
          <w:kern w:val="0"/>
          <w:szCs w:val="21"/>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在审核过程中了解到，该公司</w:t>
      </w:r>
      <w:r>
        <w:rPr>
          <w:rFonts w:hint="eastAsia" w:cs="宋体" w:asciiTheme="minorEastAsia" w:hAnsiTheme="minorEastAsia"/>
          <w:bCs/>
          <w:color w:val="000000" w:themeColor="text1"/>
          <w:kern w:val="0"/>
          <w:szCs w:val="21"/>
        </w:rPr>
        <w:t>于201</w:t>
      </w:r>
      <w:r>
        <w:rPr>
          <w:rFonts w:hint="eastAsia" w:cs="宋体" w:asciiTheme="minorEastAsia" w:hAnsiTheme="minorEastAsia"/>
          <w:bCs/>
          <w:color w:val="000000" w:themeColor="text1"/>
          <w:kern w:val="0"/>
          <w:szCs w:val="21"/>
          <w:lang w:val="en-US" w:eastAsia="zh-CN"/>
        </w:rPr>
        <w:t>9</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11</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10</w:t>
      </w:r>
      <w:r>
        <w:rPr>
          <w:rFonts w:hint="eastAsia" w:cs="宋体" w:asciiTheme="minorEastAsia" w:hAnsiTheme="minorEastAsia"/>
          <w:bCs/>
          <w:color w:val="000000" w:themeColor="text1"/>
          <w:kern w:val="0"/>
          <w:szCs w:val="21"/>
        </w:rPr>
        <w:t>日 组织了内部审核</w:t>
      </w:r>
      <w:r>
        <w:rPr>
          <w:rFonts w:hint="eastAsia" w:cs="宋体" w:asciiTheme="minorEastAsia" w:hAnsiTheme="minorEastAsia"/>
          <w:bCs/>
          <w:kern w:val="0"/>
          <w:szCs w:val="21"/>
        </w:rPr>
        <w:t>，对内审中提出的</w:t>
      </w:r>
      <w:r>
        <w:rPr>
          <w:rFonts w:hint="eastAsia" w:ascii="宋体" w:hAnsi="宋体"/>
          <w:szCs w:val="21"/>
          <w:lang w:val="en-US" w:eastAsia="zh-CN"/>
        </w:rPr>
        <w:t>1</w:t>
      </w:r>
      <w:r>
        <w:rPr>
          <w:rFonts w:hint="eastAsia" w:ascii="宋体" w:hAnsi="宋体"/>
          <w:szCs w:val="21"/>
        </w:rPr>
        <w:t>项不符合</w:t>
      </w:r>
      <w:r>
        <w:rPr>
          <w:rFonts w:hint="eastAsia" w:cs="宋体" w:asciiTheme="minorEastAsia" w:hAnsiTheme="minorEastAsia"/>
          <w:bCs/>
          <w:kern w:val="0"/>
          <w:szCs w:val="21"/>
        </w:rPr>
        <w:t>制定了纠正措施，并</w:t>
      </w:r>
      <w:r>
        <w:rPr>
          <w:rFonts w:hint="eastAsia" w:cs="宋体" w:asciiTheme="minorEastAsia" w:hAnsiTheme="minorEastAsia"/>
          <w:bCs/>
          <w:kern w:val="0"/>
          <w:szCs w:val="21"/>
          <w:lang w:eastAsia="zh-CN"/>
        </w:rPr>
        <w:t>已于</w:t>
      </w:r>
      <w:r>
        <w:rPr>
          <w:rFonts w:hint="eastAsia" w:cs="宋体" w:asciiTheme="minorEastAsia" w:hAnsiTheme="minorEastAsia"/>
          <w:bCs/>
          <w:color w:val="000000" w:themeColor="text1"/>
          <w:kern w:val="0"/>
          <w:szCs w:val="21"/>
        </w:rPr>
        <w:t>201</w:t>
      </w:r>
      <w:r>
        <w:rPr>
          <w:rFonts w:hint="eastAsia" w:cs="宋体" w:asciiTheme="minorEastAsia" w:hAnsiTheme="minorEastAsia"/>
          <w:bCs/>
          <w:color w:val="000000" w:themeColor="text1"/>
          <w:kern w:val="0"/>
          <w:szCs w:val="21"/>
          <w:lang w:val="en-US" w:eastAsia="zh-CN"/>
        </w:rPr>
        <w:t>9</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11</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15</w:t>
      </w:r>
      <w:r>
        <w:rPr>
          <w:rFonts w:hint="eastAsia" w:cs="宋体" w:asciiTheme="minorEastAsia" w:hAnsiTheme="minorEastAsia"/>
          <w:bCs/>
          <w:color w:val="000000" w:themeColor="text1"/>
          <w:kern w:val="0"/>
          <w:szCs w:val="21"/>
        </w:rPr>
        <w:t>日</w:t>
      </w:r>
      <w:r>
        <w:rPr>
          <w:rFonts w:hint="eastAsia" w:cs="宋体" w:asciiTheme="minorEastAsia" w:hAnsiTheme="minorEastAsia"/>
          <w:bCs/>
          <w:kern w:val="0"/>
          <w:szCs w:val="21"/>
        </w:rPr>
        <w:t>进行了整改</w:t>
      </w:r>
      <w:r>
        <w:rPr>
          <w:rFonts w:hint="eastAsia" w:cs="宋体" w:asciiTheme="minorEastAsia" w:hAnsiTheme="minorEastAsia"/>
          <w:bCs/>
          <w:color w:val="000000" w:themeColor="text1"/>
          <w:kern w:val="0"/>
          <w:szCs w:val="21"/>
        </w:rPr>
        <w:t>。201</w:t>
      </w:r>
      <w:r>
        <w:rPr>
          <w:rFonts w:hint="eastAsia" w:cs="宋体" w:asciiTheme="minorEastAsia" w:hAnsiTheme="minorEastAsia"/>
          <w:bCs/>
          <w:color w:val="000000" w:themeColor="text1"/>
          <w:kern w:val="0"/>
          <w:szCs w:val="21"/>
          <w:lang w:val="en-US" w:eastAsia="zh-CN"/>
        </w:rPr>
        <w:t>9</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11</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日进行</w:t>
      </w:r>
      <w:r>
        <w:rPr>
          <w:rFonts w:hint="eastAsia" w:cs="宋体" w:asciiTheme="minorEastAsia" w:hAnsiTheme="minorEastAsia"/>
          <w:bCs/>
          <w:kern w:val="0"/>
          <w:szCs w:val="21"/>
        </w:rPr>
        <w:t>了管理评审，对测量管理体系进行了有效评价，确保了测量管理体系的运行质量。</w:t>
      </w:r>
    </w:p>
    <w:p>
      <w:pPr>
        <w:widowControl/>
        <w:spacing w:line="440" w:lineRule="exact"/>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400" w:lineRule="exact"/>
        <w:ind w:firstLine="420" w:firstLineChars="200"/>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江苏德高物联技术有限公司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widowControl/>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201</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抽查了企业对已识别的</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个关键测量过程：</w:t>
      </w:r>
      <w:r>
        <w:rPr>
          <w:rFonts w:hint="eastAsia" w:ascii="Times New Roman" w:hAnsi="Times New Roman"/>
          <w:lang w:val="en-US" w:eastAsia="zh-CN"/>
        </w:rPr>
        <w:t>电磁线圈</w:t>
      </w:r>
      <w:r>
        <w:rPr>
          <w:rFonts w:hint="eastAsia" w:ascii="Times New Roman" w:hAnsi="Times New Roman"/>
        </w:rPr>
        <w:t>接地电阻检测</w:t>
      </w:r>
      <w:r>
        <w:rPr>
          <w:rFonts w:hint="eastAsia" w:ascii="宋体" w:hAnsi="宋体"/>
          <w:szCs w:val="21"/>
          <w:lang w:eastAsia="zh-CN"/>
        </w:rPr>
        <w:t>，</w:t>
      </w:r>
      <w:r>
        <w:rPr>
          <w:rFonts w:hint="eastAsia" w:cs="宋体" w:asciiTheme="minorEastAsia" w:hAnsiTheme="minorEastAsia"/>
          <w:kern w:val="0"/>
          <w:szCs w:val="21"/>
        </w:rPr>
        <w:t>体系运行一年来未有新增测量过程，对高度控制的测量过程能进行有效性控制、监视，记录、监视控制图齐全，完整；抽查了</w:t>
      </w:r>
      <w:r>
        <w:rPr>
          <w:rFonts w:hint="eastAsia" w:ascii="Times New Roman" w:hAnsi="Times New Roman"/>
          <w:lang w:val="en-US" w:eastAsia="zh-CN"/>
        </w:rPr>
        <w:t>电磁线圈</w:t>
      </w:r>
      <w:r>
        <w:rPr>
          <w:rFonts w:hint="eastAsia" w:ascii="Times New Roman" w:hAnsi="Times New Roman"/>
        </w:rPr>
        <w:t>接地电阻检测</w:t>
      </w:r>
      <w:r>
        <w:rPr>
          <w:rFonts w:hint="eastAsia"/>
        </w:rPr>
        <w:t>过程</w:t>
      </w:r>
      <w:r>
        <w:rPr>
          <w:rFonts w:hint="eastAsia" w:cs="宋体" w:asciiTheme="minorEastAsia" w:hAnsiTheme="minorEastAsia"/>
          <w:kern w:val="0"/>
          <w:szCs w:val="21"/>
        </w:rPr>
        <w:t>控制的监视记录，见附页：测量过程监视统计记录表及监视控制图。</w:t>
      </w:r>
    </w:p>
    <w:p>
      <w:pPr>
        <w:widowControl/>
        <w:spacing w:line="440" w:lineRule="exact"/>
        <w:rPr>
          <w:rFonts w:cs="宋体" w:asciiTheme="minorEastAsia" w:hAnsiTheme="minorEastAsia"/>
          <w:bCs/>
          <w:kern w:val="0"/>
          <w:szCs w:val="21"/>
        </w:rPr>
      </w:pPr>
      <w:r>
        <w:rPr>
          <w:rFonts w:hint="eastAsia" w:asciiTheme="minorEastAsia" w:hAnsiTheme="minorEastAsia"/>
          <w:bCs/>
          <w:szCs w:val="21"/>
        </w:rPr>
        <w:t>5.对认证审核时提出的不符合项的纠正措施情况有表述</w:t>
      </w:r>
      <w:r>
        <w:rPr>
          <w:rFonts w:cs="宋体" w:asciiTheme="minorEastAsia" w:hAnsiTheme="minorEastAsia"/>
          <w:bCs/>
          <w:kern w:val="0"/>
          <w:szCs w:val="21"/>
        </w:rPr>
        <w:t>：</w:t>
      </w:r>
    </w:p>
    <w:p>
      <w:pPr>
        <w:pStyle w:val="9"/>
        <w:widowControl/>
        <w:spacing w:line="360" w:lineRule="auto"/>
        <w:ind w:left="420" w:firstLine="0" w:firstLineChars="0"/>
        <w:jc w:val="left"/>
        <w:rPr>
          <w:rFonts w:hint="eastAsia" w:cs="宋体"/>
          <w:kern w:val="0"/>
          <w:lang w:eastAsia="zh-CN"/>
        </w:rPr>
      </w:pPr>
      <w:r>
        <w:rPr>
          <w:rFonts w:hint="eastAsia" w:cs="宋体"/>
          <w:kern w:val="0"/>
        </w:rPr>
        <w:t>公司已针对上一年度开具的不符合项已采取有效措施，已关闭。</w:t>
      </w:r>
    </w:p>
    <w:p>
      <w:pPr>
        <w:pStyle w:val="9"/>
        <w:widowControl/>
        <w:numPr>
          <w:ilvl w:val="0"/>
          <w:numId w:val="0"/>
        </w:numPr>
        <w:spacing w:line="276"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400" w:lineRule="exact"/>
        <w:ind w:firstLine="420" w:firstLineChars="200"/>
        <w:rPr>
          <w:rFonts w:hint="eastAsia" w:cs="宋体" w:asciiTheme="minorEastAsia" w:hAnsiTheme="minorEastAsia"/>
          <w:kern w:val="0"/>
          <w:szCs w:val="21"/>
          <w:lang w:eastAsia="zh-CN"/>
        </w:rPr>
      </w:pPr>
      <w:r>
        <w:rPr>
          <w:rFonts w:hint="eastAsia" w:ascii="宋体" w:hAnsi="宋体"/>
          <w:szCs w:val="21"/>
          <w:lang w:val="en-US" w:eastAsia="zh-CN"/>
        </w:rPr>
        <w:t>该企业规模小型不是能耗大户，2019年全年能耗：0.61万吨标准煤，建立能源计量器具台账；能源计量的部分活动已纳入体系管理。</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w:t>
      </w:r>
      <w:r>
        <w:rPr>
          <w:rFonts w:hint="eastAsia" w:asciiTheme="minorEastAsia" w:hAnsiTheme="minorEastAsia"/>
          <w:bCs/>
          <w:szCs w:val="21"/>
          <w:lang w:val="en-US" w:eastAsia="zh-CN"/>
        </w:rPr>
        <w:t>成果</w:t>
      </w:r>
      <w:r>
        <w:rPr>
          <w:rFonts w:hint="eastAsia" w:asciiTheme="minorEastAsia" w:hAnsiTheme="minorEastAsia"/>
          <w:bCs/>
          <w:szCs w:val="21"/>
        </w:rPr>
        <w:t>交接、能源、安全、现场管理等方面的投诉和纠纷。</w:t>
      </w:r>
    </w:p>
    <w:p>
      <w:pPr>
        <w:widowControl/>
        <w:spacing w:line="440" w:lineRule="exact"/>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公司《计量工作质量目标管理程序》，规定了公司的计量方针及</w:t>
      </w:r>
      <w:r>
        <w:rPr>
          <w:rFonts w:hint="eastAsia" w:asciiTheme="minorEastAsia" w:hAnsiTheme="minorEastAsia"/>
          <w:bCs/>
          <w:szCs w:val="21"/>
          <w:lang w:val="en-US" w:eastAsia="zh-CN"/>
        </w:rPr>
        <w:t>6</w:t>
      </w:r>
      <w:r>
        <w:rPr>
          <w:rFonts w:hint="eastAsia" w:asciiTheme="minorEastAsia" w:hAnsiTheme="minorEastAsia"/>
          <w:bCs/>
          <w:szCs w:val="21"/>
        </w:rPr>
        <w:t>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420" w:firstLineChars="2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400" w:lineRule="exact"/>
        <w:rPr>
          <w:rFonts w:hint="eastAsia" w:cs="宋体" w:asciiTheme="minorEastAsia" w:hAnsiTheme="minorEastAsia"/>
          <w:bCs/>
          <w:kern w:val="0"/>
          <w:szCs w:val="21"/>
          <w:lang w:val="en-US"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本次监督审核共出具一般不符合项</w:t>
      </w:r>
      <w:r>
        <w:rPr>
          <w:rFonts w:hint="eastAsia" w:ascii="宋体" w:hAnsi="宋体" w:eastAsia="宋体" w:cs="宋体"/>
          <w:kern w:val="0"/>
          <w:szCs w:val="21"/>
          <w:lang w:val="en-US" w:eastAsia="zh-CN"/>
        </w:rPr>
        <w:t>1</w:t>
      </w:r>
      <w:r>
        <w:rPr>
          <w:rFonts w:hint="eastAsia" w:ascii="宋体" w:hAnsi="宋体" w:eastAsia="宋体" w:cs="宋体"/>
          <w:kern w:val="0"/>
          <w:szCs w:val="21"/>
        </w:rPr>
        <w:t>项，未发现严重的或系统性的不符合情况：</w:t>
      </w:r>
    </w:p>
    <w:p>
      <w:pPr>
        <w:widowControl/>
        <w:spacing w:line="360" w:lineRule="auto"/>
        <w:jc w:val="left"/>
        <w:rPr>
          <w:rFonts w:hint="eastAsia" w:cs="宋体" w:asciiTheme="minorEastAsia" w:hAnsiTheme="minorEastAsia"/>
          <w:bCs/>
          <w:kern w:val="0"/>
          <w:szCs w:val="21"/>
          <w:lang w:eastAsia="zh-CN"/>
        </w:rPr>
      </w:pPr>
      <w:r>
        <w:rPr>
          <w:rFonts w:hint="eastAsia" w:cs="宋体" w:asciiTheme="minorEastAsia" w:hAnsiTheme="minorEastAsia"/>
          <w:bCs/>
          <w:kern w:val="0"/>
          <w:szCs w:val="21"/>
          <w:lang w:val="en-US" w:eastAsia="zh-CN"/>
        </w:rPr>
        <w:t xml:space="preserve">11.1  </w:t>
      </w:r>
      <w:r>
        <w:rPr>
          <w:rFonts w:hint="eastAsia" w:ascii="宋体" w:cs="宋体"/>
          <w:kern w:val="0"/>
          <w:szCs w:val="21"/>
          <w:lang w:val="en-US" w:eastAsia="zh-CN"/>
        </w:rPr>
        <w:t>查生产部，编号：HJ420166 带表卡尺，检定日期2019年08月23日，未列入《计量器具台账》管理，不符合GB/T19022-2003  6.3.1条。</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8日-1月9日</w:t>
      </w:r>
      <w:r>
        <w:rPr>
          <w:rFonts w:hint="eastAsia" w:ascii="宋体" w:hAnsi="宋体" w:eastAsia="宋体" w:cs="宋体"/>
          <w:bCs/>
          <w:kern w:val="0"/>
          <w:szCs w:val="21"/>
        </w:rPr>
        <w:t>对</w:t>
      </w:r>
      <w:r>
        <w:rPr>
          <w:rFonts w:hint="eastAsia" w:ascii="宋体" w:hAnsi="宋体" w:eastAsia="宋体"/>
          <w:szCs w:val="21"/>
          <w:lang w:eastAsia="zh-CN"/>
        </w:rPr>
        <w:t>江苏德高物联技术有限公司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江苏德高物联技术有限公司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企业加强体系文件的宣贯培训，提升全员计量意识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cente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w:t>
      </w:r>
      <w:r>
        <w:rPr>
          <w:rFonts w:hint="eastAsia" w:ascii="宋体" w:hAnsi="宋体" w:eastAsia="宋体" w:cs="宋体"/>
          <w:kern w:val="0"/>
          <w:szCs w:val="28"/>
          <w:lang w:val="en-US" w:eastAsia="zh-CN"/>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570" w:firstLineChars="1700"/>
        <w:jc w:val="left"/>
        <w:rPr>
          <w:rFonts w:hint="eastAsia" w:ascii="宋体" w:hAnsi="宋体" w:eastAsia="宋体" w:cs="宋体"/>
          <w:kern w:val="0"/>
          <w:szCs w:val="28"/>
        </w:rPr>
      </w:pPr>
    </w:p>
    <w:p>
      <w:pPr>
        <w:widowControl/>
        <w:spacing w:line="276" w:lineRule="auto"/>
        <w:ind w:firstLine="3570" w:firstLineChars="1700"/>
        <w:jc w:val="left"/>
        <w:rPr>
          <w:rFonts w:hint="eastAsia" w:ascii="宋体" w:hAnsi="宋体" w:eastAsia="宋体" w:cs="宋体"/>
          <w:b/>
          <w:bCs/>
          <w:kern w:val="0"/>
          <w:szCs w:val="21"/>
        </w:rPr>
      </w:pPr>
      <w:r>
        <w:rPr>
          <w:rFonts w:hint="eastAsia" w:ascii="宋体" w:hAnsi="宋体" w:eastAsia="宋体" w:cs="宋体"/>
          <w:kern w:val="0"/>
          <w:szCs w:val="28"/>
        </w:rPr>
        <w:t>审查人员（签字）：             日期：</w:t>
      </w:r>
      <w:bookmarkStart w:id="5" w:name="_GoBack"/>
      <w:bookmarkEnd w:id="5"/>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5D12"/>
    <w:multiLevelType w:val="multilevel"/>
    <w:tmpl w:val="3B8A5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43AB69"/>
    <w:multiLevelType w:val="singleLevel"/>
    <w:tmpl w:val="7143AB6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252DD9"/>
    <w:rsid w:val="321945B5"/>
    <w:rsid w:val="6D5330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2020-01-09T03:14:15Z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