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宝鸡市红星锻造有限责任公司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0164-2019-2022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0164-2019-2022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190"/>
        <w:gridCol w:w="1700"/>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宝鸡市红星锻造有限责任公司</w:t>
            </w:r>
            <w:bookmarkEnd w:id="4"/>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521" w:type="dxa"/>
          </w:tcPr>
          <w:p>
            <w:pPr>
              <w:tabs>
                <w:tab w:val="left" w:pos="880"/>
              </w:tabs>
              <w:autoSpaceDE w:val="0"/>
              <w:autoSpaceDN w:val="0"/>
              <w:adjustRightInd w:val="0"/>
              <w:spacing w:before="35" w:line="360" w:lineRule="auto"/>
              <w:ind w:right="161" w:firstLine="420" w:firstLineChars="200"/>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沙宏涛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ISC-2019-0518</w:t>
            </w:r>
            <w:bookmarkEnd w:id="5"/>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521" w:type="dxa"/>
          </w:tcPr>
          <w:p>
            <w:pPr>
              <w:tabs>
                <w:tab w:val="left" w:pos="880"/>
              </w:tabs>
              <w:autoSpaceDE w:val="0"/>
              <w:autoSpaceDN w:val="0"/>
              <w:adjustRightInd w:val="0"/>
              <w:spacing w:before="35" w:line="360" w:lineRule="auto"/>
              <w:ind w:right="161" w:firstLine="210" w:firstLineChars="100"/>
              <w:rPr>
                <w:rFonts w:cs="宋体" w:asciiTheme="minorEastAsia" w:hAnsiTheme="minorEastAsia"/>
                <w:kern w:val="0"/>
                <w:szCs w:val="21"/>
              </w:rPr>
            </w:pPr>
            <w:bookmarkStart w:id="6" w:name="证书有效期"/>
            <w:r>
              <w:rPr>
                <w:rFonts w:cs="宋体" w:asciiTheme="minorEastAsia" w:hAnsiTheme="minorEastAsia"/>
                <w:kern w:val="0"/>
                <w:szCs w:val="21"/>
              </w:rPr>
              <w:t xml:space="preserve">2024-10-28 </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第</w:t>
            </w:r>
            <w:r>
              <w:rPr>
                <w:rFonts w:hint="eastAsia" w:cs="宋体" w:asciiTheme="minorEastAsia" w:hAnsiTheme="minorEastAsia"/>
                <w:kern w:val="0"/>
                <w:szCs w:val="21"/>
                <w:lang w:val="en-US" w:eastAsia="zh-CN"/>
              </w:rPr>
              <w:t>三</w:t>
            </w:r>
            <w:r>
              <w:rPr>
                <w:rFonts w:hint="eastAsia" w:cs="宋体" w:asciiTheme="minorEastAsia" w:hAnsiTheme="minorEastAsia"/>
                <w:kern w:val="0"/>
                <w:szCs w:val="21"/>
              </w:rPr>
              <w:t>次监督审核</w:t>
            </w:r>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521"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审核开始日"/>
            <w:r>
              <w:rPr>
                <w:rFonts w:cs="宋体" w:asciiTheme="minorEastAsia" w:hAnsiTheme="minorEastAsia"/>
                <w:kern w:val="0"/>
                <w:szCs w:val="21"/>
              </w:rPr>
              <w:t>2022年12月16日</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0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szCs w:val="21"/>
              </w:rPr>
              <w:t>李俐</w:t>
            </w:r>
            <w:r>
              <w:rPr>
                <w:rFonts w:hint="eastAsia" w:ascii="宋体" w:hAnsi="宋体"/>
                <w:szCs w:val="21"/>
                <w:lang w:val="en-US" w:eastAsia="zh-CN"/>
              </w:rPr>
              <w:t xml:space="preserve"> </w:t>
            </w:r>
            <w:r>
              <w:rPr>
                <w:rFonts w:ascii="宋体" w:hAnsi="宋体" w:eastAsia="宋体" w:cs="Times New Roman"/>
                <w:szCs w:val="21"/>
              </w:rPr>
              <w:t>2021-M1MMS-2222792</w:t>
            </w:r>
          </w:p>
        </w:tc>
        <w:tc>
          <w:tcPr>
            <w:tcW w:w="17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521"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综合管理部、技术质量部、生产部、供销部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rFonts w:hint="eastAsia"/>
          <w:color w:val="000000" w:themeColor="text1"/>
          <w:szCs w:val="21"/>
        </w:rPr>
      </w:pPr>
      <w:r>
        <w:rPr>
          <w:rFonts w:hint="eastAsia"/>
          <w:color w:val="000000" w:themeColor="text1"/>
          <w:szCs w:val="21"/>
        </w:rPr>
        <w:t>1.一年内违反法律法规或重大事故的情况：</w:t>
      </w:r>
    </w:p>
    <w:p>
      <w:pPr>
        <w:spacing w:line="360" w:lineRule="auto"/>
        <w:ind w:firstLine="420" w:firstLineChars="200"/>
        <w:rPr>
          <w:rFonts w:hint="eastAsia"/>
          <w:color w:val="000000" w:themeColor="text1"/>
          <w:szCs w:val="21"/>
        </w:rPr>
      </w:pPr>
      <w:r>
        <w:rPr>
          <w:rFonts w:hint="eastAsia"/>
          <w:color w:val="000000" w:themeColor="text1"/>
          <w:szCs w:val="21"/>
        </w:rPr>
        <w:t>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12</w:t>
      </w:r>
      <w:r>
        <w:rPr>
          <w:rFonts w:hint="eastAsia"/>
          <w:color w:val="000000" w:themeColor="text1"/>
          <w:szCs w:val="21"/>
        </w:rPr>
        <w:t>月至今，公司日常运行中生产经营平稳，企业未有违反法律、法规问题和产品质量问题的投诉或重大质量事故发生。企业营业执照等资质未发生变化。</w:t>
      </w:r>
    </w:p>
    <w:p>
      <w:pPr>
        <w:spacing w:line="360" w:lineRule="auto"/>
        <w:rPr>
          <w:rFonts w:hint="eastAsia"/>
          <w:color w:val="000000" w:themeColor="text1"/>
          <w:szCs w:val="21"/>
        </w:rPr>
      </w:pPr>
      <w:r>
        <w:rPr>
          <w:rFonts w:hint="eastAsia"/>
          <w:color w:val="000000" w:themeColor="text1"/>
          <w:szCs w:val="21"/>
        </w:rPr>
        <w:t>2.内部审核和管理评审的情况：</w:t>
      </w:r>
    </w:p>
    <w:p>
      <w:pPr>
        <w:spacing w:line="360" w:lineRule="auto"/>
        <w:rPr>
          <w:rFonts w:hint="eastAsia"/>
          <w:color w:val="000000" w:themeColor="text1"/>
          <w:szCs w:val="21"/>
        </w:rPr>
      </w:pPr>
      <w:r>
        <w:rPr>
          <w:rFonts w:hint="eastAsia"/>
          <w:color w:val="000000" w:themeColor="text1"/>
          <w:szCs w:val="21"/>
        </w:rPr>
        <w:t>2.1内审情况</w:t>
      </w:r>
      <w:r>
        <w:rPr>
          <w:rFonts w:hint="eastAsia"/>
          <w:szCs w:val="21"/>
        </w:rPr>
        <w:t>：</w:t>
      </w:r>
      <w:r>
        <w:rPr>
          <w:rFonts w:hint="eastAsia" w:ascii="宋体" w:hAnsi="宋体"/>
          <w:color w:val="000000"/>
          <w:szCs w:val="21"/>
          <w:lang w:val="en-US" w:eastAsia="zh-CN"/>
        </w:rPr>
        <w:t>公司于2022年10月8日组织了公司测量管理体系，内审分2个组，对公司4个部门进行了全要素的审核，共开出了1不符合项，于10月20日完成整改。</w:t>
      </w:r>
    </w:p>
    <w:p>
      <w:pPr>
        <w:spacing w:line="360" w:lineRule="auto"/>
        <w:rPr>
          <w:rStyle w:val="9"/>
          <w:rFonts w:ascii="宋体" w:eastAsia="宋体"/>
          <w:color w:val="0070C0"/>
          <w:sz w:val="21"/>
          <w:szCs w:val="21"/>
        </w:rPr>
      </w:pPr>
      <w:r>
        <w:rPr>
          <w:rFonts w:hint="eastAsia"/>
          <w:color w:val="000000" w:themeColor="text1"/>
          <w:szCs w:val="21"/>
        </w:rPr>
        <w:t>2.2管理评审情况：</w:t>
      </w:r>
      <w:r>
        <w:rPr>
          <w:rFonts w:hint="eastAsia"/>
          <w:szCs w:val="21"/>
        </w:rPr>
        <w:t>于</w:t>
      </w:r>
      <w:r>
        <w:rPr>
          <w:rFonts w:hint="eastAsia" w:ascii="宋体" w:hAnsi="宋体"/>
          <w:color w:val="000000"/>
          <w:szCs w:val="21"/>
          <w:lang w:val="en-US" w:eastAsia="zh-CN"/>
        </w:rPr>
        <w:t>2022年10月22日</w:t>
      </w:r>
      <w:r>
        <w:rPr>
          <w:szCs w:val="21"/>
        </w:rPr>
        <w:t>开展</w:t>
      </w:r>
      <w:r>
        <w:rPr>
          <w:rFonts w:hint="eastAsia"/>
          <w:szCs w:val="21"/>
        </w:rPr>
        <w:t>了测量管理体系管理评审，会议</w:t>
      </w:r>
      <w:r>
        <w:rPr>
          <w:szCs w:val="21"/>
        </w:rPr>
        <w:t>由</w:t>
      </w:r>
      <w:r>
        <w:rPr>
          <w:rFonts w:hint="eastAsia"/>
          <w:szCs w:val="21"/>
        </w:rPr>
        <w:t>公司</w:t>
      </w:r>
      <w:r>
        <w:rPr>
          <w:rFonts w:hint="eastAsia"/>
          <w:szCs w:val="21"/>
          <w:lang w:val="en-US" w:eastAsia="zh-CN"/>
        </w:rPr>
        <w:t>沙黑成</w:t>
      </w:r>
      <w:r>
        <w:rPr>
          <w:rFonts w:hint="eastAsia" w:ascii="宋体" w:hAnsi="宋体"/>
          <w:color w:val="000000"/>
          <w:szCs w:val="21"/>
          <w:lang w:val="en-US" w:eastAsia="zh-CN"/>
        </w:rPr>
        <w:t>总经理</w:t>
      </w:r>
      <w:r>
        <w:rPr>
          <w:rFonts w:hint="eastAsia"/>
          <w:szCs w:val="21"/>
        </w:rPr>
        <w:t>主持，由公司各部门分别按管理评审输入要求</w:t>
      </w:r>
      <w:r>
        <w:rPr>
          <w:szCs w:val="21"/>
        </w:rPr>
        <w:t>汇报了体系运行</w:t>
      </w:r>
      <w:r>
        <w:rPr>
          <w:rFonts w:hint="eastAsia"/>
          <w:szCs w:val="21"/>
        </w:rPr>
        <w:t>实施及完成</w:t>
      </w:r>
      <w:r>
        <w:rPr>
          <w:szCs w:val="21"/>
        </w:rPr>
        <w:t>情况。</w:t>
      </w:r>
      <w:r>
        <w:rPr>
          <w:rFonts w:hint="eastAsia"/>
          <w:szCs w:val="21"/>
        </w:rPr>
        <w:t>管代</w:t>
      </w:r>
      <w:r>
        <w:rPr>
          <w:rFonts w:hint="eastAsia"/>
          <w:szCs w:val="21"/>
          <w:lang w:val="en-US" w:eastAsia="zh-CN"/>
        </w:rPr>
        <w:t>吴知虎</w:t>
      </w:r>
      <w:r>
        <w:rPr>
          <w:rFonts w:hint="eastAsia"/>
          <w:szCs w:val="21"/>
        </w:rPr>
        <w:t>总结了测量体系的运行情况，并肯定</w:t>
      </w:r>
      <w:r>
        <w:rPr>
          <w:szCs w:val="21"/>
        </w:rPr>
        <w:t>了公司</w:t>
      </w:r>
      <w:r>
        <w:rPr>
          <w:rFonts w:hint="eastAsia"/>
          <w:szCs w:val="21"/>
        </w:rPr>
        <w:t>测量管理体系运行</w:t>
      </w:r>
      <w:r>
        <w:rPr>
          <w:szCs w:val="21"/>
        </w:rPr>
        <w:t>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w:t>
      </w:r>
    </w:p>
    <w:p>
      <w:pPr>
        <w:widowControl/>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3.为持续改进而策划的活动的进展企业对识别的关键测量过程进行了持续的控制，</w:t>
      </w:r>
      <w:r>
        <w:rPr>
          <w:rFonts w:hint="eastAsia" w:cs="宋体" w:asciiTheme="minorEastAsia" w:hAnsiTheme="minorEastAsia"/>
          <w:bCs/>
          <w:color w:val="000000" w:themeColor="text1"/>
          <w:kern w:val="0"/>
          <w:szCs w:val="21"/>
          <w:lang w:val="en-US" w:eastAsia="zh-CN"/>
          <w14:textFill>
            <w14:solidFill>
              <w14:schemeClr w14:val="tx1"/>
            </w14:solidFill>
          </w14:textFill>
        </w:rPr>
        <w:t>未</w:t>
      </w:r>
      <w:r>
        <w:rPr>
          <w:rFonts w:hint="eastAsia" w:cs="宋体" w:asciiTheme="minorEastAsia" w:hAnsiTheme="minorEastAsia"/>
          <w:bCs/>
          <w:color w:val="000000" w:themeColor="text1"/>
          <w:kern w:val="0"/>
          <w:szCs w:val="21"/>
          <w14:textFill>
            <w14:solidFill>
              <w14:schemeClr w14:val="tx1"/>
            </w14:solidFill>
          </w14:textFill>
        </w:rPr>
        <w:t>增关键测量过程：</w:t>
      </w:r>
    </w:p>
    <w:p>
      <w:pPr>
        <w:widowControl/>
        <w:spacing w:line="360" w:lineRule="auto"/>
        <w:jc w:val="left"/>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a)计量要求的导出和验证：</w:t>
      </w:r>
      <w:r>
        <w:rPr>
          <w:rFonts w:hint="eastAsia" w:ascii="宋体" w:hAnsi="宋体"/>
          <w:color w:val="000000" w:themeColor="text1"/>
          <w:szCs w:val="21"/>
          <w:lang w:eastAsia="zh-CN"/>
          <w14:textFill>
            <w14:solidFill>
              <w14:schemeClr w14:val="tx1"/>
            </w14:solidFill>
          </w14:textFill>
        </w:rPr>
        <w:t>二轴四档齿轮毛坯减震槽测量过程</w:t>
      </w:r>
      <w:r>
        <w:rPr>
          <w:rFonts w:hint="eastAsia"/>
          <w:color w:val="000000" w:themeColor="text1"/>
          <w14:textFill>
            <w14:solidFill>
              <w14:schemeClr w14:val="tx1"/>
            </w14:solidFill>
          </w14:textFill>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b)</w:t>
      </w:r>
      <w:r>
        <w:rPr>
          <w:rFonts w:cs="宋体" w:asciiTheme="minorEastAsia" w:hAnsiTheme="minorEastAsia"/>
          <w:color w:val="000000" w:themeColor="text1"/>
          <w:kern w:val="0"/>
          <w:szCs w:val="21"/>
          <w14:textFill>
            <w14:solidFill>
              <w14:schemeClr w14:val="tx1"/>
            </w14:solidFill>
          </w14:textFill>
        </w:rPr>
        <w:t>测量不确定评定</w:t>
      </w:r>
      <w:r>
        <w:rPr>
          <w:rFonts w:hint="eastAsia" w:cs="宋体" w:asciiTheme="minorEastAsia" w:hAnsiTheme="minorEastAsia"/>
          <w:color w:val="000000" w:themeColor="text1"/>
          <w:kern w:val="0"/>
          <w:szCs w:val="21"/>
          <w14:textFill>
            <w14:solidFill>
              <w14:schemeClr w14:val="tx1"/>
            </w14:solidFill>
          </w14:textFill>
        </w:rPr>
        <w:t>：查</w:t>
      </w:r>
      <w:r>
        <w:rPr>
          <w:rFonts w:hint="eastAsia" w:ascii="宋体" w:hAnsi="宋体"/>
          <w:color w:val="000000" w:themeColor="text1"/>
          <w:szCs w:val="21"/>
          <w:lang w:eastAsia="zh-CN"/>
          <w14:textFill>
            <w14:solidFill>
              <w14:schemeClr w14:val="tx1"/>
            </w14:solidFill>
          </w14:textFill>
        </w:rPr>
        <w:t>二轴四档齿轮毛坯减震槽测量过程</w:t>
      </w:r>
      <w:r>
        <w:rPr>
          <w:rFonts w:hint="eastAsia"/>
          <w:color w:val="000000" w:themeColor="text1"/>
          <w14:textFill>
            <w14:solidFill>
              <w14:schemeClr w14:val="tx1"/>
            </w14:solidFill>
          </w14:textFill>
        </w:rPr>
        <w:t>，测量不确定度评定方法正确。祥见附件《测量不确定度评定》</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c)有效性确认：查</w:t>
      </w:r>
      <w:r>
        <w:rPr>
          <w:rFonts w:hint="eastAsia" w:ascii="宋体" w:hAnsi="宋体"/>
          <w:color w:val="000000" w:themeColor="text1"/>
          <w:szCs w:val="21"/>
          <w:lang w:eastAsia="zh-CN"/>
          <w14:textFill>
            <w14:solidFill>
              <w14:schemeClr w14:val="tx1"/>
            </w14:solidFill>
          </w14:textFill>
        </w:rPr>
        <w:t>二轴四档齿轮毛坯减震槽测量过程</w:t>
      </w:r>
      <w:r>
        <w:rPr>
          <w:rFonts w:hint="eastAsia"/>
          <w:color w:val="000000" w:themeColor="text1"/>
          <w14:textFill>
            <w14:solidFill>
              <w14:schemeClr w14:val="tx1"/>
            </w14:solidFill>
          </w14:textFill>
        </w:rPr>
        <w:t>，采用计量比对</w:t>
      </w:r>
      <w:r>
        <w:rPr>
          <w:rFonts w:hint="eastAsia"/>
          <w:color w:val="000000" w:themeColor="text1"/>
          <w:lang w:val="en-US" w:eastAsia="zh-CN"/>
          <w14:textFill>
            <w14:solidFill>
              <w14:schemeClr w14:val="tx1"/>
            </w14:solidFill>
          </w14:textFill>
        </w:rPr>
        <w:t>法</w:t>
      </w:r>
      <w:r>
        <w:rPr>
          <w:rFonts w:hint="eastAsia"/>
          <w:color w:val="000000" w:themeColor="text1"/>
          <w14:textFill>
            <w14:solidFill>
              <w14:schemeClr w14:val="tx1"/>
            </w14:solidFill>
          </w14:textFill>
        </w:rPr>
        <w:t>进行有效性确认，满足要求。祥见附件《测量过程有效性确认》</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d)</w:t>
      </w:r>
      <w:r>
        <w:rPr>
          <w:rFonts w:cs="宋体" w:asciiTheme="minorEastAsia" w:hAnsiTheme="minorEastAsia"/>
          <w:color w:val="000000" w:themeColor="text1"/>
          <w:kern w:val="0"/>
          <w:szCs w:val="21"/>
          <w14:textFill>
            <w14:solidFill>
              <w14:schemeClr w14:val="tx1"/>
            </w14:solidFill>
          </w14:textFill>
        </w:rPr>
        <w:t>测量过程的控制</w:t>
      </w:r>
      <w:r>
        <w:rPr>
          <w:rFonts w:hint="eastAsia" w:cs="宋体" w:asciiTheme="minorEastAsia" w:hAnsiTheme="minorEastAsia"/>
          <w:color w:val="000000" w:themeColor="text1"/>
          <w:kern w:val="0"/>
          <w:szCs w:val="21"/>
          <w14:textFill>
            <w14:solidFill>
              <w14:schemeClr w14:val="tx1"/>
            </w14:solidFill>
          </w14:textFill>
        </w:rPr>
        <w:t>：查</w:t>
      </w:r>
      <w:r>
        <w:rPr>
          <w:rFonts w:hint="eastAsia" w:ascii="宋体" w:hAnsi="宋体"/>
          <w:color w:val="000000" w:themeColor="text1"/>
          <w:szCs w:val="21"/>
          <w:lang w:eastAsia="zh-CN"/>
          <w14:textFill>
            <w14:solidFill>
              <w14:schemeClr w14:val="tx1"/>
            </w14:solidFill>
          </w14:textFill>
        </w:rPr>
        <w:t>二轴四档齿轮毛坯减震槽测量过程</w:t>
      </w:r>
      <w:r>
        <w:rPr>
          <w:rFonts w:hint="eastAsia"/>
          <w:color w:val="000000" w:themeColor="text1"/>
          <w14:textFill>
            <w14:solidFill>
              <w14:schemeClr w14:val="tx1"/>
            </w14:solidFill>
          </w14:textFill>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e)</w:t>
      </w:r>
      <w:r>
        <w:rPr>
          <w:rFonts w:cs="宋体" w:asciiTheme="minorEastAsia" w:hAnsiTheme="minorEastAsia"/>
          <w:color w:val="000000" w:themeColor="text1"/>
          <w:kern w:val="0"/>
          <w:szCs w:val="21"/>
          <w14:textFill>
            <w14:solidFill>
              <w14:schemeClr w14:val="tx1"/>
            </w14:solidFill>
          </w14:textFill>
        </w:rPr>
        <w:t>测量过程的监视</w:t>
      </w:r>
      <w:r>
        <w:rPr>
          <w:rFonts w:hint="eastAsia" w:cs="宋体" w:asciiTheme="minorEastAsia" w:hAnsiTheme="minorEastAsia"/>
          <w:color w:val="000000" w:themeColor="text1"/>
          <w:kern w:val="0"/>
          <w:szCs w:val="21"/>
          <w14:textFill>
            <w14:solidFill>
              <w14:schemeClr w14:val="tx1"/>
            </w14:solidFill>
          </w14:textFill>
        </w:rPr>
        <w:t>：查</w:t>
      </w:r>
      <w:r>
        <w:rPr>
          <w:rFonts w:hint="eastAsia" w:ascii="宋体" w:hAnsi="宋体"/>
          <w:color w:val="000000" w:themeColor="text1"/>
          <w:szCs w:val="21"/>
          <w:lang w:eastAsia="zh-CN"/>
          <w14:textFill>
            <w14:solidFill>
              <w14:schemeClr w14:val="tx1"/>
            </w14:solidFill>
          </w14:textFill>
        </w:rPr>
        <w:t>二轴四档齿轮毛坯减震槽测量过程</w:t>
      </w:r>
      <w:r>
        <w:rPr>
          <w:rFonts w:hint="eastAsia"/>
          <w:color w:val="000000" w:themeColor="text1"/>
          <w14:textFill>
            <w14:solidFill>
              <w14:schemeClr w14:val="tx1"/>
            </w14:solidFill>
          </w14:textFill>
        </w:rPr>
        <w:t>，</w:t>
      </w:r>
      <w:r>
        <w:rPr>
          <w:rFonts w:hint="eastAsia" w:cs="宋体" w:asciiTheme="minorEastAsia" w:hAnsiTheme="minorEastAsia"/>
          <w:color w:val="000000" w:themeColor="text1"/>
          <w:kern w:val="0"/>
          <w:szCs w:val="21"/>
          <w14:textFill>
            <w14:solidFill>
              <w14:schemeClr w14:val="tx1"/>
            </w14:solidFill>
          </w14:textFill>
        </w:rPr>
        <w:t>采用统计技术进行控制和监视测量过程。祥见《测量过程监视记录》</w:t>
      </w:r>
    </w:p>
    <w:p>
      <w:pPr>
        <w:widowControl/>
        <w:spacing w:line="360" w:lineRule="auto"/>
        <w:rPr>
          <w:color w:val="000000" w:themeColor="text1"/>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f)测量设备的溯源：</w:t>
      </w:r>
      <w:r>
        <w:rPr>
          <w:rFonts w:hint="eastAsia" w:cs="宋体" w:asciiTheme="minorEastAsia" w:hAnsiTheme="minorEastAsia"/>
          <w:color w:val="000000" w:themeColor="text1"/>
          <w:kern w:val="0"/>
          <w:szCs w:val="21"/>
          <w:lang w:val="en-US" w:eastAsia="zh-CN"/>
          <w14:textFill>
            <w14:solidFill>
              <w14:schemeClr w14:val="tx1"/>
            </w14:solidFill>
          </w14:textFill>
        </w:rPr>
        <w:t>该</w:t>
      </w:r>
      <w:r>
        <w:rPr>
          <w:rFonts w:hint="eastAsia" w:cs="宋体" w:asciiTheme="minorEastAsia" w:hAnsiTheme="minorEastAsia"/>
          <w:color w:val="000000" w:themeColor="text1"/>
          <w:kern w:val="0"/>
          <w:szCs w:val="21"/>
          <w14:textFill>
            <w14:solidFill>
              <w14:schemeClr w14:val="tx1"/>
            </w14:solidFill>
          </w14:textFill>
        </w:rPr>
        <w:t>公司</w:t>
      </w:r>
      <w:r>
        <w:rPr>
          <w:rFonts w:hint="eastAsia" w:cs="宋体" w:asciiTheme="minorEastAsia" w:hAnsiTheme="minorEastAsia"/>
          <w:color w:val="000000" w:themeColor="text1"/>
          <w:kern w:val="0"/>
          <w:szCs w:val="21"/>
          <w:lang w:val="en-US" w:eastAsia="zh-CN"/>
          <w14:textFill>
            <w14:solidFill>
              <w14:schemeClr w14:val="tx1"/>
            </w14:solidFill>
          </w14:textFill>
        </w:rPr>
        <w:t>未</w:t>
      </w:r>
      <w:r>
        <w:rPr>
          <w:rFonts w:hint="eastAsia" w:cs="宋体" w:asciiTheme="minorEastAsia" w:hAnsiTheme="minorEastAsia"/>
          <w:color w:val="000000" w:themeColor="text1"/>
          <w:kern w:val="0"/>
          <w:szCs w:val="21"/>
          <w14:textFill>
            <w14:solidFill>
              <w14:schemeClr w14:val="tx1"/>
            </w14:solidFill>
          </w14:textFill>
        </w:rPr>
        <w:t>建立</w:t>
      </w:r>
      <w:r>
        <w:rPr>
          <w:rFonts w:hint="eastAsia" w:cs="宋体" w:asciiTheme="minorEastAsia" w:hAnsiTheme="minorEastAsia"/>
          <w:color w:val="000000" w:themeColor="text1"/>
          <w:kern w:val="0"/>
          <w:szCs w:val="21"/>
          <w:lang w:val="en-US" w:eastAsia="zh-CN"/>
          <w14:textFill>
            <w14:solidFill>
              <w14:schemeClr w14:val="tx1"/>
            </w14:solidFill>
          </w14:textFill>
        </w:rPr>
        <w:t>计量</w:t>
      </w:r>
      <w:r>
        <w:rPr>
          <w:rFonts w:hint="eastAsia" w:cs="宋体" w:asciiTheme="minorEastAsia" w:hAnsiTheme="minorEastAsia"/>
          <w:color w:val="000000" w:themeColor="text1"/>
          <w:kern w:val="0"/>
          <w:szCs w:val="21"/>
          <w14:textFill>
            <w14:solidFill>
              <w14:schemeClr w14:val="tx1"/>
            </w14:solidFill>
          </w14:textFill>
        </w:rPr>
        <w:t>标准，测量设备全部送至江苏世通仪器检测服务有限公司校准，抽查</w:t>
      </w:r>
      <w:r>
        <w:rPr>
          <w:rFonts w:hint="eastAsia" w:cs="宋体" w:asciiTheme="minorEastAsia" w:hAnsiTheme="minorEastAsia"/>
          <w:color w:val="000000" w:themeColor="text1"/>
          <w:kern w:val="0"/>
          <w:szCs w:val="21"/>
          <w:lang w:val="en-US" w:eastAsia="zh-CN"/>
          <w14:textFill>
            <w14:solidFill>
              <w14:schemeClr w14:val="tx1"/>
            </w14:solidFill>
          </w14:textFill>
        </w:rPr>
        <w:t>8</w:t>
      </w:r>
      <w:r>
        <w:rPr>
          <w:rFonts w:hint="eastAsia" w:cs="宋体" w:asciiTheme="minorEastAsia" w:hAnsiTheme="minorEastAsia"/>
          <w:color w:val="000000" w:themeColor="text1"/>
          <w:kern w:val="0"/>
          <w:szCs w:val="21"/>
          <w14:textFill>
            <w14:solidFill>
              <w14:schemeClr w14:val="tx1"/>
            </w14:solidFill>
          </w14:textFill>
        </w:rPr>
        <w:t>台件测量设备，符合量值溯源性管理的要求。祥见《测量设备溯源检查表》</w:t>
      </w:r>
    </w:p>
    <w:p>
      <w:pPr>
        <w:widowControl/>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4.能源管理情况：</w:t>
      </w:r>
    </w:p>
    <w:p>
      <w:pPr>
        <w:widowControl/>
        <w:spacing w:line="360" w:lineRule="auto"/>
        <w:ind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lang w:val="en-US" w:eastAsia="zh-CN"/>
          <w14:textFill>
            <w14:solidFill>
              <w14:schemeClr w14:val="tx1"/>
            </w14:solidFill>
          </w14:textFill>
        </w:rPr>
        <w:t>2021年耗能折标准煤98吨。</w:t>
      </w:r>
      <w:r>
        <w:rPr>
          <w:rFonts w:hint="eastAsia" w:cs="宋体" w:asciiTheme="minorEastAsia" w:hAnsiTheme="minorEastAsia"/>
          <w:color w:val="000000" w:themeColor="text1"/>
          <w:kern w:val="0"/>
          <w:szCs w:val="21"/>
          <w14:textFill>
            <w14:solidFill>
              <w14:schemeClr w14:val="tx1"/>
            </w14:solidFill>
          </w14:textFill>
        </w:rPr>
        <w:t>该公司不属于重点能耗企业，已经按要求统计公司水电气总能耗</w:t>
      </w:r>
      <w:r>
        <w:rPr>
          <w:rFonts w:hint="eastAsia" w:cs="宋体" w:asciiTheme="minorEastAsia" w:hAnsiTheme="minorEastAsia"/>
          <w:color w:val="000000" w:themeColor="text1"/>
          <w:kern w:val="0"/>
          <w:szCs w:val="21"/>
          <w:lang w:eastAsia="zh-CN"/>
          <w14:textFill>
            <w14:solidFill>
              <w14:schemeClr w14:val="tx1"/>
            </w14:solidFill>
          </w14:textFill>
        </w:rPr>
        <w:t>，能源计量器具已建台账，纳入测量管理体系管理，</w:t>
      </w:r>
      <w:r>
        <w:rPr>
          <w:rFonts w:hint="eastAsia" w:cs="宋体" w:asciiTheme="minorEastAsia" w:hAnsiTheme="minorEastAsia"/>
          <w:color w:val="000000" w:themeColor="text1"/>
          <w:kern w:val="0"/>
          <w:szCs w:val="21"/>
          <w14:textFill>
            <w14:solidFill>
              <w14:schemeClr w14:val="tx1"/>
            </w14:solidFill>
          </w14:textFill>
        </w:rPr>
        <w:t>能源计量管理满足GB17167要求。</w:t>
      </w:r>
    </w:p>
    <w:p>
      <w:pPr>
        <w:widowControl/>
        <w:numPr>
          <w:ilvl w:val="0"/>
          <w:numId w:val="1"/>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对认证审核时提出的的不符合项的纠正措施情况有表述</w:t>
      </w:r>
      <w:r>
        <w:rPr>
          <w:rFonts w:cs="宋体" w:asciiTheme="minorEastAsia" w:hAnsiTheme="minorEastAsia"/>
          <w:bCs/>
          <w:color w:val="000000" w:themeColor="text1"/>
          <w:kern w:val="0"/>
          <w:szCs w:val="21"/>
          <w14:textFill>
            <w14:solidFill>
              <w14:schemeClr w14:val="tx1"/>
            </w14:solidFill>
          </w14:textFill>
        </w:rPr>
        <w:t>：</w:t>
      </w:r>
    </w:p>
    <w:p>
      <w:pPr>
        <w:widowControl/>
        <w:numPr>
          <w:numId w:val="0"/>
        </w:numPr>
        <w:spacing w:line="360" w:lineRule="auto"/>
        <w:ind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查20</w:t>
      </w:r>
      <w:r>
        <w:rPr>
          <w:rFonts w:hint="eastAsia" w:ascii="宋体" w:hAnsi="宋体" w:cs="宋体"/>
          <w:bCs/>
          <w:color w:val="000000" w:themeColor="text1"/>
          <w:kern w:val="0"/>
          <w:szCs w:val="21"/>
          <w:lang w:val="en-US" w:eastAsia="zh-CN"/>
          <w14:textFill>
            <w14:solidFill>
              <w14:schemeClr w14:val="tx1"/>
            </w14:solidFill>
          </w14:textFill>
        </w:rPr>
        <w:t>21</w:t>
      </w:r>
      <w:r>
        <w:rPr>
          <w:rFonts w:hint="eastAsia" w:ascii="宋体" w:hAnsi="宋体" w:cs="宋体"/>
          <w:bCs/>
          <w:color w:val="000000" w:themeColor="text1"/>
          <w:kern w:val="0"/>
          <w:szCs w:val="21"/>
          <w14:textFill>
            <w14:solidFill>
              <w14:schemeClr w14:val="tx1"/>
            </w14:solidFill>
          </w14:textFill>
        </w:rPr>
        <w:t>年外审开出了一项不符合项报告：</w:t>
      </w:r>
      <w:r>
        <w:rPr>
          <w:rFonts w:hint="eastAsia" w:ascii="宋体" w:hAnsi="宋体" w:cs="宋体"/>
          <w:bCs/>
          <w:color w:val="000000" w:themeColor="text1"/>
          <w:kern w:val="0"/>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查</w:t>
      </w:r>
      <w:r>
        <w:rPr>
          <w:rFonts w:hint="eastAsia" w:ascii="宋体" w:hAnsi="宋体" w:cs="宋体"/>
          <w:color w:val="000000" w:themeColor="text1"/>
          <w:kern w:val="0"/>
          <w:szCs w:val="21"/>
          <w:lang w:val="en-US" w:eastAsia="zh-CN"/>
          <w14:textFill>
            <w14:solidFill>
              <w14:schemeClr w14:val="tx1"/>
            </w14:solidFill>
          </w14:textFill>
        </w:rPr>
        <w:t>技术质量部，编号：H217120 内测游标卡尺，经2021年10月14日校准，未见确认标识</w:t>
      </w:r>
      <w:r>
        <w:rPr>
          <w:rFonts w:hint="eastAsia" w:ascii="宋体" w:hAnsi="宋体"/>
          <w:color w:val="000000" w:themeColor="text1"/>
          <w:szCs w:val="21"/>
          <w:lang w:val="en-US" w:eastAsia="zh-CN"/>
          <w14:textFill>
            <w14:solidFill>
              <w14:schemeClr w14:val="tx1"/>
            </w14:solidFill>
          </w14:textFill>
        </w:rPr>
        <w:t>，不符合GB/T19022-2003标准6.2.4条款的要求。</w:t>
      </w:r>
      <w:r>
        <w:rPr>
          <w:rFonts w:hint="eastAsia" w:ascii="宋体" w:hAnsi="宋体" w:cs="宋体"/>
          <w:bCs/>
          <w:color w:val="000000" w:themeColor="text1"/>
          <w:kern w:val="0"/>
          <w:szCs w:val="21"/>
          <w:lang w:eastAsia="zh-CN"/>
          <w14:textFill>
            <w14:solidFill>
              <w14:schemeClr w14:val="tx1"/>
            </w14:solidFill>
          </w14:textFill>
        </w:rPr>
        <w:t>”，</w:t>
      </w:r>
      <w:bookmarkStart w:id="9" w:name="_GoBack"/>
      <w:bookmarkEnd w:id="9"/>
      <w:r>
        <w:rPr>
          <w:rFonts w:hint="eastAsia" w:ascii="宋体" w:hAnsi="宋体" w:cs="宋体"/>
          <w:bCs/>
          <w:color w:val="000000" w:themeColor="text1"/>
          <w:kern w:val="0"/>
          <w:szCs w:val="21"/>
          <w14:textFill>
            <w14:solidFill>
              <w14:schemeClr w14:val="tx1"/>
            </w14:solidFill>
          </w14:textFill>
        </w:rPr>
        <w:t>企业对不符合组织了纠正，1.</w:t>
      </w:r>
      <w:r>
        <w:rPr>
          <w:rFonts w:hint="eastAsia" w:ascii="宋体" w:hAnsi="宋体" w:cs="宋体"/>
          <w:bCs/>
          <w:color w:val="000000" w:themeColor="text1"/>
          <w:kern w:val="0"/>
          <w:szCs w:val="21"/>
          <w:lang w:val="en-US" w:eastAsia="zh-CN"/>
          <w14:textFill>
            <w14:solidFill>
              <w14:schemeClr w14:val="tx1"/>
            </w14:solidFill>
          </w14:textFill>
        </w:rPr>
        <w:t>将该计量器具进行计量确认并进行有效性标识</w:t>
      </w:r>
      <w:r>
        <w:rPr>
          <w:rFonts w:hint="eastAsia" w:ascii="宋体" w:hAnsi="宋体" w:cs="宋体"/>
          <w:bCs/>
          <w:color w:val="000000" w:themeColor="text1"/>
          <w:kern w:val="0"/>
          <w:szCs w:val="21"/>
          <w14:textFill>
            <w14:solidFill>
              <w14:schemeClr w14:val="tx1"/>
            </w14:solidFill>
          </w14:textFill>
        </w:rPr>
        <w:t>；2.</w:t>
      </w:r>
      <w:r>
        <w:rPr>
          <w:rFonts w:hint="eastAsia" w:ascii="宋体" w:hAnsi="宋体" w:cs="宋体"/>
          <w:bCs/>
          <w:color w:val="000000" w:themeColor="text1"/>
          <w:kern w:val="0"/>
          <w:szCs w:val="21"/>
          <w:lang w:val="en-US" w:eastAsia="zh-CN"/>
          <w14:textFill>
            <w14:solidFill>
              <w14:schemeClr w14:val="tx1"/>
            </w14:solidFill>
          </w14:textFill>
        </w:rPr>
        <w:t>举一反三对实际配置的计量器具进行排查，</w:t>
      </w:r>
      <w:r>
        <w:rPr>
          <w:rFonts w:hint="eastAsia" w:ascii="宋体" w:hAnsi="宋体" w:cs="宋体"/>
          <w:bCs/>
          <w:color w:val="000000" w:themeColor="text1"/>
          <w:kern w:val="0"/>
          <w:szCs w:val="21"/>
          <w14:textFill>
            <w14:solidFill>
              <w14:schemeClr w14:val="tx1"/>
            </w14:solidFill>
          </w14:textFill>
        </w:rPr>
        <w:t>避免相同问题重复发生。验证该不符合项纠正措施有效，同意关闭。</w:t>
      </w:r>
    </w:p>
    <w:p>
      <w:pPr>
        <w:widowControl/>
        <w:numPr>
          <w:ilvl w:val="0"/>
          <w:numId w:val="2"/>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对</w:t>
      </w:r>
      <w:r>
        <w:rPr>
          <w:rFonts w:hint="eastAsia" w:asciiTheme="minorEastAsia" w:hAnsiTheme="minorEastAsia"/>
          <w:bCs/>
          <w:color w:val="000000" w:themeColor="text1"/>
          <w:szCs w:val="21"/>
          <w14:textFill>
            <w14:solidFill>
              <w14:schemeClr w14:val="tx1"/>
            </w14:solidFill>
          </w14:textFill>
        </w:rPr>
        <w:t>投诉的处理</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ascii="宋体" w:hAnsi="宋体" w:cs="宋体"/>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企业202</w:t>
      </w:r>
      <w:r>
        <w:rPr>
          <w:rFonts w:hint="eastAsia" w:cs="宋体" w:asciiTheme="minorEastAsia" w:hAnsiTheme="minorEastAsia"/>
          <w:bCs/>
          <w:color w:val="000000" w:themeColor="text1"/>
          <w:kern w:val="0"/>
          <w:szCs w:val="21"/>
          <w:lang w:val="en-US" w:eastAsia="zh-CN"/>
          <w14:textFill>
            <w14:solidFill>
              <w14:schemeClr w14:val="tx1"/>
            </w14:solidFill>
          </w14:textFill>
        </w:rPr>
        <w:t>1</w:t>
      </w:r>
      <w:r>
        <w:rPr>
          <w:rFonts w:hint="eastAsia" w:cs="宋体" w:asciiTheme="minorEastAsia" w:hAnsiTheme="minorEastAsia"/>
          <w:bCs/>
          <w:color w:val="000000" w:themeColor="text1"/>
          <w:kern w:val="0"/>
          <w:szCs w:val="21"/>
          <w14:textFill>
            <w14:solidFill>
              <w14:schemeClr w14:val="tx1"/>
            </w14:solidFill>
          </w14:textFill>
        </w:rPr>
        <w:t>年有未有顾客的投诉。</w:t>
      </w:r>
      <w:r>
        <w:rPr>
          <w:rFonts w:hint="eastAsia"/>
          <w:bCs/>
          <w:color w:val="000000" w:themeColor="text1"/>
          <w:szCs w:val="21"/>
          <w14:textFill>
            <w14:solidFill>
              <w14:schemeClr w14:val="tx1"/>
            </w14:solidFill>
          </w14:textFill>
        </w:rPr>
        <w:t>企业未有</w:t>
      </w:r>
      <w:r>
        <w:rPr>
          <w:rFonts w:ascii="宋体" w:hAnsi="宋体" w:cs="宋体"/>
          <w:bCs/>
          <w:color w:val="000000" w:themeColor="text1"/>
          <w:kern w:val="0"/>
          <w:szCs w:val="21"/>
          <w14:textFill>
            <w14:solidFill>
              <w14:schemeClr w14:val="tx1"/>
            </w14:solidFill>
          </w14:textFill>
        </w:rPr>
        <w:t>违反法律</w:t>
      </w:r>
      <w:r>
        <w:rPr>
          <w:rFonts w:hint="eastAsia" w:ascii="宋体" w:hAnsi="宋体" w:cs="宋体"/>
          <w:bCs/>
          <w:color w:val="000000" w:themeColor="text1"/>
          <w:kern w:val="0"/>
          <w:szCs w:val="21"/>
          <w14:textFill>
            <w14:solidFill>
              <w14:schemeClr w14:val="tx1"/>
            </w14:solidFill>
          </w14:textFill>
        </w:rPr>
        <w:t>、</w:t>
      </w:r>
      <w:r>
        <w:rPr>
          <w:rFonts w:ascii="宋体" w:hAnsi="宋体" w:cs="宋体"/>
          <w:bCs/>
          <w:color w:val="000000" w:themeColor="text1"/>
          <w:kern w:val="0"/>
          <w:szCs w:val="21"/>
          <w14:textFill>
            <w14:solidFill>
              <w14:schemeClr w14:val="tx1"/>
            </w14:solidFill>
          </w14:textFill>
        </w:rPr>
        <w:t>法规</w:t>
      </w:r>
      <w:r>
        <w:rPr>
          <w:rFonts w:hint="eastAsia" w:ascii="宋体" w:hAnsi="宋体" w:cs="宋体"/>
          <w:bCs/>
          <w:color w:val="000000" w:themeColor="text1"/>
          <w:kern w:val="0"/>
          <w:szCs w:val="21"/>
          <w14:textFill>
            <w14:solidFill>
              <w14:schemeClr w14:val="tx1"/>
            </w14:solidFill>
          </w14:textFill>
        </w:rPr>
        <w:t>问题和产品质量问题的投诉或</w:t>
      </w:r>
      <w:r>
        <w:rPr>
          <w:rFonts w:ascii="宋体" w:hAnsi="宋体" w:cs="宋体"/>
          <w:bCs/>
          <w:color w:val="000000" w:themeColor="text1"/>
          <w:kern w:val="0"/>
          <w:szCs w:val="21"/>
          <w14:textFill>
            <w14:solidFill>
              <w14:schemeClr w14:val="tx1"/>
            </w14:solidFill>
          </w14:textFill>
        </w:rPr>
        <w:t>重大</w:t>
      </w:r>
      <w:r>
        <w:rPr>
          <w:rFonts w:hint="eastAsia" w:ascii="宋体" w:hAnsi="宋体" w:cs="宋体"/>
          <w:bCs/>
          <w:color w:val="000000" w:themeColor="text1"/>
          <w:kern w:val="0"/>
          <w:szCs w:val="21"/>
          <w14:textFill>
            <w14:solidFill>
              <w14:schemeClr w14:val="tx1"/>
            </w14:solidFill>
          </w14:textFill>
        </w:rPr>
        <w:t>质量</w:t>
      </w:r>
      <w:r>
        <w:rPr>
          <w:rFonts w:ascii="宋体" w:hAnsi="宋体" w:cs="宋体"/>
          <w:bCs/>
          <w:color w:val="000000" w:themeColor="text1"/>
          <w:kern w:val="0"/>
          <w:szCs w:val="21"/>
          <w14:textFill>
            <w14:solidFill>
              <w14:schemeClr w14:val="tx1"/>
            </w14:solidFill>
          </w14:textFill>
        </w:rPr>
        <w:t>事故</w:t>
      </w:r>
      <w:r>
        <w:rPr>
          <w:rFonts w:hint="eastAsia" w:ascii="宋体" w:hAnsi="宋体" w:cs="宋体"/>
          <w:bCs/>
          <w:color w:val="000000" w:themeColor="text1"/>
          <w:kern w:val="0"/>
          <w:szCs w:val="21"/>
          <w14:textFill>
            <w14:solidFill>
              <w14:schemeClr w14:val="tx1"/>
            </w14:solidFill>
          </w14:textFill>
        </w:rPr>
        <w:t>发生。</w:t>
      </w:r>
    </w:p>
    <w:p>
      <w:pPr>
        <w:widowControl/>
        <w:numPr>
          <w:ilvl w:val="0"/>
          <w:numId w:val="2"/>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测量管理体系在实现获证客户目标方面的有效性及持续的运作控制</w:t>
      </w:r>
      <w:r>
        <w:rPr>
          <w:rFonts w:cs="宋体" w:asciiTheme="minorEastAsia" w:hAnsiTheme="minorEastAsia"/>
          <w:bCs/>
          <w:color w:val="000000" w:themeColor="text1"/>
          <w:kern w:val="0"/>
          <w:szCs w:val="21"/>
          <w14:textFill>
            <w14:solidFill>
              <w14:schemeClr w14:val="tx1"/>
            </w14:solidFill>
          </w14:textFill>
        </w:rPr>
        <w:t>情况：</w:t>
      </w:r>
    </w:p>
    <w:p>
      <w:pPr>
        <w:widowControl/>
        <w:spacing w:line="360" w:lineRule="auto"/>
        <w:ind w:firstLine="420" w:firstLineChars="200"/>
        <w:rPr>
          <w:rFonts w:cs="宋体" w:asciiTheme="minorEastAsia" w:hAnsiTheme="minorEastAsia"/>
          <w:bCs/>
          <w:color w:val="000000" w:themeColor="text1"/>
          <w:kern w:val="0"/>
          <w:szCs w:val="21"/>
          <w14:textFill>
            <w14:solidFill>
              <w14:schemeClr w14:val="tx1"/>
            </w14:solidFill>
          </w14:textFill>
        </w:rPr>
      </w:pPr>
      <w:r>
        <w:rPr>
          <w:rFonts w:hint="eastAsia" w:ascii="宋体" w:hAnsi="宋体" w:eastAsia="宋体"/>
          <w:bCs/>
          <w:color w:val="000000" w:themeColor="text1"/>
          <w:szCs w:val="21"/>
          <w14:textFill>
            <w14:solidFill>
              <w14:schemeClr w14:val="tx1"/>
            </w14:solidFill>
          </w14:textFill>
        </w:rPr>
        <w:t>公司制定了</w:t>
      </w:r>
      <w:r>
        <w:rPr>
          <w:rFonts w:hint="eastAsia" w:ascii="宋体" w:hAnsi="宋体" w:eastAsia="宋体"/>
          <w:bCs/>
          <w:color w:val="000000" w:themeColor="text1"/>
          <w:szCs w:val="21"/>
          <w:lang w:val="en-US" w:eastAsia="zh-CN"/>
          <w14:textFill>
            <w14:solidFill>
              <w14:schemeClr w14:val="tx1"/>
            </w14:solidFill>
          </w14:textFill>
        </w:rPr>
        <w:t>5</w:t>
      </w:r>
      <w:r>
        <w:rPr>
          <w:rFonts w:hint="eastAsia" w:ascii="宋体" w:hAnsi="宋体" w:eastAsia="宋体"/>
          <w:bCs/>
          <w:color w:val="000000" w:themeColor="text1"/>
          <w:szCs w:val="21"/>
          <w14:textFill>
            <w14:solidFill>
              <w14:schemeClr w14:val="tx1"/>
            </w14:solidFill>
          </w14:textFill>
        </w:rPr>
        <w:t>项质量目标，对目标进行了分解，查20</w:t>
      </w:r>
      <w:r>
        <w:rPr>
          <w:rFonts w:hint="eastAsia" w:ascii="宋体" w:hAnsi="宋体" w:eastAsia="宋体"/>
          <w:bCs/>
          <w:color w:val="000000" w:themeColor="text1"/>
          <w:szCs w:val="21"/>
          <w:lang w:val="en-US" w:eastAsia="zh-CN"/>
          <w14:textFill>
            <w14:solidFill>
              <w14:schemeClr w14:val="tx1"/>
            </w14:solidFill>
          </w14:textFill>
        </w:rPr>
        <w:t>22</w:t>
      </w:r>
      <w:r>
        <w:rPr>
          <w:rFonts w:hint="eastAsia" w:ascii="宋体" w:hAnsi="宋体" w:eastAsia="宋体"/>
          <w:bCs/>
          <w:color w:val="000000" w:themeColor="text1"/>
          <w:szCs w:val="21"/>
          <w14:textFill>
            <w14:solidFill>
              <w14:schemeClr w14:val="tx1"/>
            </w14:solidFill>
          </w14:textFill>
        </w:rPr>
        <w:t>年1月到11月质量目标完成情况检查表，按目标、措施、完成情况、未完成情况进行统计，记录内容全，每月统计，质量目标管理满足要求。</w:t>
      </w:r>
    </w:p>
    <w:p>
      <w:pPr>
        <w:widowControl/>
        <w:numPr>
          <w:ilvl w:val="0"/>
          <w:numId w:val="2"/>
        </w:numPr>
        <w:spacing w:line="360" w:lineRule="auto"/>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对企业组织任何变更的审核</w:t>
      </w:r>
    </w:p>
    <w:p>
      <w:pPr>
        <w:widowControl/>
        <w:spacing w:line="360" w:lineRule="auto"/>
        <w:ind w:firstLine="420" w:firstLineChars="200"/>
        <w:rPr>
          <w:rFonts w:asciiTheme="minorEastAsia" w:hAnsiTheme="minorEastAsia"/>
          <w:bCs/>
          <w:color w:val="000000" w:themeColor="text1"/>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企业营业执照和组织机构未发生变化。</w:t>
      </w:r>
    </w:p>
    <w:p>
      <w:pPr>
        <w:widowControl/>
        <w:numPr>
          <w:ilvl w:val="0"/>
          <w:numId w:val="2"/>
        </w:numPr>
        <w:spacing w:line="360" w:lineRule="auto"/>
        <w:rPr>
          <w:rFonts w:cs="宋体" w:asciiTheme="minorEastAsia" w:hAnsiTheme="minorEastAsia"/>
          <w:bCs/>
          <w:color w:val="000000" w:themeColor="text1"/>
          <w:kern w:val="0"/>
          <w:szCs w:val="21"/>
          <w14:textFill>
            <w14:solidFill>
              <w14:schemeClr w14:val="tx1"/>
            </w14:solidFill>
          </w14:textFill>
        </w:rPr>
      </w:pPr>
      <w:r>
        <w:rPr>
          <w:rFonts w:hint="eastAsia" w:asciiTheme="minorEastAsia" w:hAnsiTheme="minorEastAsia"/>
          <w:bCs/>
          <w:color w:val="000000" w:themeColor="text1"/>
          <w:szCs w:val="21"/>
          <w14:textFill>
            <w14:solidFill>
              <w14:schemeClr w14:val="tx1"/>
            </w14:solidFill>
          </w14:textFill>
        </w:rPr>
        <w:t>标志的使用和（或）任何其他对认证资</w:t>
      </w:r>
      <w:r>
        <w:rPr>
          <w:rFonts w:hint="eastAsia"/>
          <w:bCs/>
          <w:color w:val="000000" w:themeColor="text1"/>
          <w14:textFill>
            <w14:solidFill>
              <w14:schemeClr w14:val="tx1"/>
            </w14:solidFill>
          </w14:textFill>
        </w:rPr>
        <w:t>格引用</w:t>
      </w:r>
      <w:r>
        <w:rPr>
          <w:rFonts w:cs="宋体" w:asciiTheme="minorEastAsia" w:hAnsiTheme="minorEastAsia"/>
          <w:bCs/>
          <w:color w:val="000000" w:themeColor="text1"/>
          <w:kern w:val="0"/>
          <w:szCs w:val="21"/>
          <w14:textFill>
            <w14:solidFill>
              <w14:schemeClr w14:val="tx1"/>
            </w14:solidFill>
          </w14:textFill>
        </w:rPr>
        <w:t>的情况：</w:t>
      </w:r>
    </w:p>
    <w:p>
      <w:pPr>
        <w:widowControl/>
        <w:spacing w:line="360" w:lineRule="auto"/>
        <w:rPr>
          <w:rFonts w:hint="eastAsia" w:cs="宋体" w:asciiTheme="minorEastAsia" w:hAnsiTheme="minorEastAsia"/>
          <w:bCs/>
          <w:color w:val="000000" w:themeColor="text1"/>
          <w:kern w:val="0"/>
          <w:szCs w:val="21"/>
          <w14:textFill>
            <w14:solidFill>
              <w14:schemeClr w14:val="tx1"/>
            </w14:solidFill>
          </w14:textFill>
        </w:rPr>
      </w:pPr>
      <w:r>
        <w:rPr>
          <w:rFonts w:hint="eastAsia" w:cs="宋体" w:asciiTheme="minorEastAsia" w:hAnsiTheme="minorEastAsia"/>
          <w:bCs/>
          <w:color w:val="000000" w:themeColor="text1"/>
          <w:kern w:val="0"/>
          <w:szCs w:val="21"/>
          <w14:textFill>
            <w14:solidFill>
              <w14:schemeClr w14:val="tx1"/>
            </w14:solidFill>
          </w14:textFill>
        </w:rPr>
        <w:t xml:space="preserve"> </w:t>
      </w:r>
      <w:r>
        <w:rPr>
          <w:rFonts w:hint="eastAsia" w:cs="宋体" w:asciiTheme="minorEastAsia" w:hAnsiTheme="minorEastAsia"/>
          <w:bCs/>
          <w:color w:val="000000" w:themeColor="text1"/>
          <w:kern w:val="0"/>
          <w:szCs w:val="21"/>
          <w:lang w:val="en-US" w:eastAsia="zh-CN"/>
          <w14:textFill>
            <w14:solidFill>
              <w14:schemeClr w14:val="tx1"/>
            </w14:solidFill>
          </w14:textFill>
        </w:rPr>
        <w:t xml:space="preserve">  </w:t>
      </w:r>
      <w:r>
        <w:rPr>
          <w:rFonts w:hint="eastAsia" w:cs="宋体" w:asciiTheme="minorEastAsia" w:hAnsiTheme="minorEastAsia"/>
          <w:bCs/>
          <w:color w:val="000000" w:themeColor="text1"/>
          <w:kern w:val="0"/>
          <w:szCs w:val="21"/>
          <w14:textFill>
            <w14:solidFill>
              <w14:schemeClr w14:val="tx1"/>
            </w14:solidFill>
          </w14:textFill>
        </w:rPr>
        <w:t>用于企业的形象宣传。</w:t>
      </w:r>
    </w:p>
    <w:p>
      <w:pPr>
        <w:widowControl/>
        <w:numPr>
          <w:ilvl w:val="0"/>
          <w:numId w:val="2"/>
        </w:numPr>
        <w:spacing w:line="360" w:lineRule="auto"/>
        <w:ind w:left="0" w:leftChars="0" w:firstLine="0" w:firstLineChars="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本次监督审核</w:t>
      </w:r>
      <w:r>
        <w:rPr>
          <w:rFonts w:hint="eastAsia" w:ascii="宋体" w:hAnsi="宋体" w:eastAsia="宋体" w:cs="宋体"/>
          <w:color w:val="000000" w:themeColor="text1"/>
          <w:kern w:val="0"/>
          <w:szCs w:val="21"/>
          <w:lang w:val="en-US" w:eastAsia="zh-CN"/>
          <w14:textFill>
            <w14:solidFill>
              <w14:schemeClr w14:val="tx1"/>
            </w14:solidFill>
          </w14:textFill>
        </w:rPr>
        <w:t>未</w:t>
      </w:r>
      <w:r>
        <w:rPr>
          <w:rFonts w:hint="eastAsia" w:ascii="宋体" w:hAnsi="宋体" w:eastAsia="宋体" w:cs="宋体"/>
          <w:color w:val="000000" w:themeColor="text1"/>
          <w:kern w:val="0"/>
          <w:szCs w:val="21"/>
          <w14:textFill>
            <w14:solidFill>
              <w14:schemeClr w14:val="tx1"/>
            </w14:solidFill>
          </w14:textFill>
        </w:rPr>
        <w:t>出具一般不符合</w:t>
      </w:r>
      <w:r>
        <w:rPr>
          <w:rFonts w:hint="eastAsia" w:ascii="宋体" w:hAnsi="宋体" w:eastAsia="宋体" w:cs="宋体"/>
          <w:color w:val="000000" w:themeColor="text1"/>
          <w:kern w:val="0"/>
          <w:szCs w:val="21"/>
          <w:lang w:val="en-US" w:eastAsia="zh-CN"/>
          <w14:textFill>
            <w14:solidFill>
              <w14:schemeClr w14:val="tx1"/>
            </w14:solidFill>
          </w14:textFill>
        </w:rPr>
        <w:t>项</w:t>
      </w:r>
      <w:r>
        <w:rPr>
          <w:rFonts w:hint="eastAsia" w:ascii="宋体" w:hAnsi="宋体" w:eastAsia="宋体" w:cs="宋体"/>
          <w:color w:val="000000" w:themeColor="text1"/>
          <w:kern w:val="0"/>
          <w:szCs w:val="21"/>
          <w14:textFill>
            <w14:solidFill>
              <w14:schemeClr w14:val="tx1"/>
            </w14:solidFill>
          </w14:textFill>
        </w:rPr>
        <w:t>，未发现严重的或系统性的不符合情况</w:t>
      </w:r>
      <w:r>
        <w:rPr>
          <w:rFonts w:hint="eastAsia" w:ascii="宋体" w:hAnsi="宋体" w:eastAsia="宋体" w:cs="宋体"/>
          <w:color w:val="000000" w:themeColor="text1"/>
          <w:kern w:val="0"/>
          <w:szCs w:val="21"/>
          <w:lang w:eastAsia="zh-CN"/>
          <w14:textFill>
            <w14:solidFill>
              <w14:schemeClr w14:val="tx1"/>
            </w14:solidFill>
          </w14:textFill>
        </w:rPr>
        <w:t>；</w:t>
      </w:r>
    </w:p>
    <w:p>
      <w:pPr>
        <w:widowControl/>
        <w:numPr>
          <w:ilvl w:val="0"/>
          <w:numId w:val="2"/>
        </w:numPr>
        <w:spacing w:line="360" w:lineRule="auto"/>
        <w:ind w:left="0" w:leftChars="0" w:firstLine="0" w:firstLineChars="0"/>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产品的销售</w:t>
      </w:r>
    </w:p>
    <w:p>
      <w:pPr>
        <w:snapToGrid w:val="0"/>
        <w:spacing w:line="360" w:lineRule="auto"/>
        <w:ind w:right="-512" w:rightChars="-244"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抽查</w:t>
      </w:r>
      <w:r>
        <w:rPr>
          <w:rFonts w:hint="eastAsia" w:ascii="宋体" w:hAnsi="宋体"/>
          <w:color w:val="000000" w:themeColor="text1"/>
          <w:szCs w:val="21"/>
          <w14:textFill>
            <w14:solidFill>
              <w14:schemeClr w14:val="tx1"/>
            </w14:solidFill>
          </w14:textFill>
        </w:rPr>
        <w:t>汽车变速箱用齿轮、轴</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石油机械泥浆泵用阀体、阀座</w:t>
      </w:r>
      <w:r>
        <w:rPr>
          <w:rFonts w:hint="eastAsia" w:ascii="宋体" w:hAnsi="宋体"/>
          <w:color w:val="000000" w:themeColor="text1"/>
          <w:szCs w:val="21"/>
          <w:lang w:val="en-US" w:eastAsia="zh-CN"/>
          <w14:textFill>
            <w14:solidFill>
              <w14:schemeClr w14:val="tx1"/>
            </w14:solidFill>
          </w14:textFill>
        </w:rPr>
        <w:t>等锻造</w:t>
      </w:r>
      <w:r>
        <w:rPr>
          <w:rFonts w:hint="eastAsia" w:ascii="宋体" w:hAnsi="宋体" w:eastAsia="宋体" w:cs="宋体"/>
          <w:color w:val="000000" w:themeColor="text1"/>
          <w:sz w:val="21"/>
          <w:szCs w:val="21"/>
          <w14:textFill>
            <w14:solidFill>
              <w14:schemeClr w14:val="tx1"/>
            </w14:solidFill>
          </w14:textFill>
        </w:rPr>
        <w:t>产品的销售合同，合同编号</w:t>
      </w:r>
      <w:r>
        <w:rPr>
          <w:rFonts w:hint="eastAsia" w:ascii="宋体" w:hAnsi="宋体" w:eastAsia="宋体" w:cs="宋体"/>
          <w:color w:val="000000" w:themeColor="text1"/>
          <w:sz w:val="21"/>
          <w:szCs w:val="21"/>
          <w:lang w:val="en-US" w:eastAsia="zh-CN"/>
          <w14:textFill>
            <w14:solidFill>
              <w14:schemeClr w14:val="tx1"/>
            </w14:solidFill>
          </w14:textFill>
        </w:rPr>
        <w:t>：BFCGXZ20220007</w:t>
      </w:r>
      <w:r>
        <w:rPr>
          <w:rFonts w:hint="eastAsia" w:ascii="宋体" w:hAnsi="宋体" w:eastAsia="宋体" w:cs="宋体"/>
          <w:color w:val="000000" w:themeColor="text1"/>
          <w:sz w:val="21"/>
          <w:szCs w:val="21"/>
          <w14:textFill>
            <w14:solidFill>
              <w14:schemeClr w14:val="tx1"/>
            </w14:solidFill>
          </w14:textFill>
        </w:rPr>
        <w:t>，签订时间</w:t>
      </w:r>
      <w:r>
        <w:rPr>
          <w:rFonts w:hint="eastAsia" w:ascii="宋体" w:hAnsi="宋体" w:eastAsia="宋体" w:cs="宋体"/>
          <w:color w:val="000000" w:themeColor="text1"/>
          <w:sz w:val="21"/>
          <w:szCs w:val="21"/>
          <w:lang w:val="en-US" w:eastAsia="zh-CN"/>
          <w14:textFill>
            <w14:solidFill>
              <w14:schemeClr w14:val="tx1"/>
            </w14:solidFill>
          </w14:textFill>
        </w:rPr>
        <w:t>2022</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28</w:t>
      </w:r>
      <w:r>
        <w:rPr>
          <w:rFonts w:hint="eastAsia" w:ascii="宋体" w:hAnsi="宋体" w:eastAsia="宋体" w:cs="宋体"/>
          <w:color w:val="000000" w:themeColor="text1"/>
          <w:sz w:val="21"/>
          <w:szCs w:val="21"/>
          <w14:textFill>
            <w14:solidFill>
              <w14:schemeClr w14:val="tx1"/>
            </w14:solidFill>
          </w14:textFill>
        </w:rPr>
        <w:t>日。确认企业对应的产品生产过程涉及有对应的测量过程和测量设备，测量设备的配备可满足该合同产品的生产和检验要求。</w:t>
      </w:r>
    </w:p>
    <w:p>
      <w:pPr>
        <w:snapToGrid w:val="0"/>
        <w:spacing w:line="400" w:lineRule="exact"/>
        <w:ind w:right="-512" w:rightChars="-244"/>
        <w:rPr>
          <w:rFonts w:ascii="宋体" w:hAnsi="宋体" w:eastAsia="宋体" w:cs="宋体"/>
          <w:color w:val="000000" w:themeColor="text1"/>
          <w:kern w:val="0"/>
          <w:szCs w:val="28"/>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三、</w:t>
      </w:r>
      <w:r>
        <w:rPr>
          <w:rFonts w:ascii="宋体" w:hAnsi="宋体" w:eastAsia="宋体" w:cs="宋体"/>
          <w:b/>
          <w:bCs/>
          <w:color w:val="000000" w:themeColor="text1"/>
          <w:kern w:val="0"/>
          <w:szCs w:val="21"/>
          <w14:textFill>
            <w14:solidFill>
              <w14:schemeClr w14:val="tx1"/>
            </w14:solidFill>
          </w14:textFill>
        </w:rPr>
        <w:t>监督审核结论意见</w:t>
      </w:r>
      <w:r>
        <w:rPr>
          <w:rFonts w:ascii="宋体" w:hAnsi="宋体" w:eastAsia="宋体" w:cs="宋体"/>
          <w:bCs/>
          <w:color w:val="000000" w:themeColor="text1"/>
          <w:kern w:val="0"/>
          <w:szCs w:val="21"/>
          <w14:textFill>
            <w14:solidFill>
              <w14:schemeClr w14:val="tx1"/>
            </w14:solidFill>
          </w14:textFill>
        </w:rPr>
        <w:t>(</w:t>
      </w:r>
      <w:r>
        <w:rPr>
          <w:rFonts w:ascii="宋体" w:hAnsi="宋体" w:eastAsia="宋体" w:cs="宋体"/>
          <w:color w:val="000000" w:themeColor="text1"/>
          <w:kern w:val="0"/>
          <w:szCs w:val="21"/>
          <w14:textFill>
            <w14:solidFill>
              <w14:schemeClr w14:val="tx1"/>
            </w14:solidFill>
          </w14:textFill>
        </w:rPr>
        <w:t>含需要说</w:t>
      </w:r>
      <w:r>
        <w:rPr>
          <w:rFonts w:ascii="宋体" w:hAnsi="宋体" w:eastAsia="宋体" w:cs="宋体"/>
          <w:color w:val="000000" w:themeColor="text1"/>
          <w:kern w:val="0"/>
          <w:szCs w:val="28"/>
          <w14:textFill>
            <w14:solidFill>
              <w14:schemeClr w14:val="tx1"/>
            </w14:solidFill>
          </w14:textFill>
        </w:rPr>
        <w:t>明的事项):</w:t>
      </w:r>
    </w:p>
    <w:p>
      <w:pPr>
        <w:snapToGrid w:val="0"/>
        <w:spacing w:line="400" w:lineRule="exact"/>
        <w:ind w:right="-512" w:rightChars="-244" w:firstLine="420" w:firstLineChars="200"/>
        <w:rPr>
          <w:rFonts w:ascii="宋体" w:hAnsi="宋体"/>
          <w:szCs w:val="21"/>
        </w:rPr>
      </w:pPr>
      <w:r>
        <w:rPr>
          <w:rStyle w:val="10"/>
          <w:rFonts w:hint="eastAsia" w:ascii="宋体" w:hAnsi="宋体" w:eastAsia="宋体"/>
          <w:color w:val="000000" w:themeColor="text1"/>
          <w:sz w:val="21"/>
          <w:szCs w:val="21"/>
          <w14:textFill>
            <w14:solidFill>
              <w14:schemeClr w14:val="tx1"/>
            </w14:solidFill>
          </w14:textFill>
        </w:rPr>
        <w:t>通过20</w:t>
      </w:r>
      <w:r>
        <w:rPr>
          <w:rStyle w:val="10"/>
          <w:rFonts w:hint="eastAsia" w:ascii="宋体" w:hAnsi="宋体" w:eastAsia="宋体"/>
          <w:color w:val="000000" w:themeColor="text1"/>
          <w:sz w:val="21"/>
          <w:szCs w:val="21"/>
          <w:lang w:val="en-US" w:eastAsia="zh-CN"/>
          <w14:textFill>
            <w14:solidFill>
              <w14:schemeClr w14:val="tx1"/>
            </w14:solidFill>
          </w14:textFill>
        </w:rPr>
        <w:t>22</w:t>
      </w:r>
      <w:r>
        <w:rPr>
          <w:rStyle w:val="10"/>
          <w:rFonts w:ascii="宋体" w:hAnsi="宋体" w:eastAsia="宋体"/>
          <w:color w:val="000000" w:themeColor="text1"/>
          <w:sz w:val="21"/>
          <w:szCs w:val="21"/>
          <w14:textFill>
            <w14:solidFill>
              <w14:schemeClr w14:val="tx1"/>
            </w14:solidFill>
          </w14:textFill>
        </w:rPr>
        <w:t>年</w:t>
      </w:r>
      <w:r>
        <w:rPr>
          <w:rStyle w:val="10"/>
          <w:rFonts w:hint="eastAsia" w:ascii="宋体" w:hAnsi="宋体" w:eastAsia="宋体"/>
          <w:color w:val="000000" w:themeColor="text1"/>
          <w:sz w:val="21"/>
          <w:szCs w:val="21"/>
          <w:lang w:val="en-US" w:eastAsia="zh-CN"/>
          <w14:textFill>
            <w14:solidFill>
              <w14:schemeClr w14:val="tx1"/>
            </w14:solidFill>
          </w14:textFill>
        </w:rPr>
        <w:t>12</w:t>
      </w:r>
      <w:r>
        <w:rPr>
          <w:rStyle w:val="10"/>
          <w:rFonts w:ascii="宋体" w:hAnsi="宋体" w:eastAsia="宋体"/>
          <w:color w:val="000000" w:themeColor="text1"/>
          <w:sz w:val="21"/>
          <w:szCs w:val="21"/>
          <w14:textFill>
            <w14:solidFill>
              <w14:schemeClr w14:val="tx1"/>
            </w14:solidFill>
          </w14:textFill>
        </w:rPr>
        <w:t>月</w:t>
      </w:r>
      <w:r>
        <w:rPr>
          <w:rStyle w:val="10"/>
          <w:rFonts w:hint="eastAsia" w:ascii="宋体" w:hAnsi="宋体" w:eastAsia="宋体"/>
          <w:color w:val="000000" w:themeColor="text1"/>
          <w:sz w:val="21"/>
          <w:szCs w:val="21"/>
          <w:lang w:val="en-US" w:eastAsia="zh-CN"/>
          <w14:textFill>
            <w14:solidFill>
              <w14:schemeClr w14:val="tx1"/>
            </w14:solidFill>
          </w14:textFill>
        </w:rPr>
        <w:t>16</w:t>
      </w:r>
      <w:r>
        <w:rPr>
          <w:rStyle w:val="10"/>
          <w:rFonts w:ascii="宋体" w:hAnsi="宋体" w:eastAsia="宋体"/>
          <w:color w:val="000000" w:themeColor="text1"/>
          <w:sz w:val="21"/>
          <w:szCs w:val="21"/>
          <w14:textFill>
            <w14:solidFill>
              <w14:schemeClr w14:val="tx1"/>
            </w14:solidFill>
          </w14:textFill>
        </w:rPr>
        <w:t>日</w:t>
      </w:r>
      <w:r>
        <w:rPr>
          <w:rStyle w:val="10"/>
          <w:rFonts w:hint="eastAsia" w:ascii="宋体" w:hAnsi="宋体" w:eastAsia="宋体"/>
          <w:color w:val="000000" w:themeColor="text1"/>
          <w:sz w:val="21"/>
          <w:szCs w:val="21"/>
          <w14:textFill>
            <w14:solidFill>
              <w14:schemeClr w14:val="tx1"/>
            </w14:solidFill>
          </w14:textFill>
        </w:rPr>
        <w:t>，</w:t>
      </w:r>
      <w:r>
        <w:rPr>
          <w:rStyle w:val="10"/>
          <w:rFonts w:ascii="宋体" w:hAnsi="宋体" w:eastAsia="宋体"/>
          <w:color w:val="000000" w:themeColor="text1"/>
          <w:sz w:val="21"/>
          <w:szCs w:val="21"/>
          <w14:textFill>
            <w14:solidFill>
              <w14:schemeClr w14:val="tx1"/>
            </w14:solidFill>
          </w14:textFill>
        </w:rPr>
        <w:t>对</w:t>
      </w:r>
      <w:r>
        <w:rPr>
          <w:rFonts w:cs="宋体" w:asciiTheme="minorEastAsia" w:hAnsiTheme="minorEastAsia"/>
          <w:color w:val="000000" w:themeColor="text1"/>
          <w:kern w:val="0"/>
          <w:szCs w:val="21"/>
          <w14:textFill>
            <w14:solidFill>
              <w14:schemeClr w14:val="tx1"/>
            </w14:solidFill>
          </w14:textFill>
        </w:rPr>
        <w:t>宝鸡市红星锻造有限责任公司</w:t>
      </w:r>
      <w:r>
        <w:rPr>
          <w:rFonts w:hint="eastAsia" w:cs="宋体" w:asciiTheme="minorEastAsia" w:hAnsiTheme="minorEastAsia"/>
          <w:bCs/>
          <w:color w:val="000000" w:themeColor="text1"/>
          <w:kern w:val="0"/>
          <w:szCs w:val="21"/>
          <w:lang w:val="en-US" w:eastAsia="zh-CN"/>
          <w14:textFill>
            <w14:solidFill>
              <w14:schemeClr w14:val="tx1"/>
            </w14:solidFill>
          </w14:textFill>
        </w:rPr>
        <w:t>远程</w:t>
      </w:r>
      <w:r>
        <w:rPr>
          <w:rFonts w:hint="eastAsia" w:cs="宋体" w:asciiTheme="minorEastAsia" w:hAnsiTheme="minorEastAsia"/>
          <w:bCs/>
          <w:color w:val="000000" w:themeColor="text1"/>
          <w:kern w:val="0"/>
          <w:szCs w:val="21"/>
          <w14:textFill>
            <w14:solidFill>
              <w14:schemeClr w14:val="tx1"/>
            </w14:solidFill>
          </w14:textFill>
        </w:rPr>
        <w:t>监督</w:t>
      </w:r>
      <w:r>
        <w:rPr>
          <w:rFonts w:cs="宋体" w:asciiTheme="minorEastAsia" w:hAnsiTheme="minorEastAsia"/>
          <w:bCs/>
          <w:color w:val="000000" w:themeColor="text1"/>
          <w:kern w:val="0"/>
          <w:szCs w:val="21"/>
          <w14:textFill>
            <w14:solidFill>
              <w14:schemeClr w14:val="tx1"/>
            </w14:solidFill>
          </w14:textFill>
        </w:rPr>
        <w:t>审核</w:t>
      </w:r>
      <w:r>
        <w:rPr>
          <w:rFonts w:hint="eastAsia" w:cs="宋体" w:asciiTheme="minorEastAsia" w:hAnsiTheme="minorEastAsia"/>
          <w:bCs/>
          <w:color w:val="000000" w:themeColor="text1"/>
          <w:kern w:val="0"/>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采用腾讯会议及微信、手机视频， 通过审核电子文档、照片或截屏、视频等形式获取信息，</w:t>
      </w:r>
      <w:r>
        <w:rPr>
          <w:rFonts w:hint="eastAsia" w:asciiTheme="minorEastAsia" w:hAnsiTheme="minorEastAsia"/>
          <w:bCs/>
          <w:color w:val="000000" w:themeColor="text1"/>
          <w:szCs w:val="21"/>
          <w14:textFill>
            <w14:solidFill>
              <w14:schemeClr w14:val="tx1"/>
            </w14:solidFill>
          </w14:textFill>
        </w:rPr>
        <w:t>.验证了公司在去年一年内，测量管理体系运作情况，</w:t>
      </w:r>
      <w:r>
        <w:rPr>
          <w:rFonts w:hint="eastAsia" w:ascii="宋体" w:hAnsi="宋体"/>
          <w:color w:val="000000" w:themeColor="text1"/>
          <w:szCs w:val="21"/>
          <w14:textFill>
            <w14:solidFill>
              <w14:schemeClr w14:val="tx1"/>
            </w14:solidFill>
          </w14:textFill>
        </w:rPr>
        <w:t>公司领导重视体系运行和管理，体系文件得到有效实施，企业管理规范，</w:t>
      </w:r>
      <w:r>
        <w:rPr>
          <w:rFonts w:hint="eastAsia" w:ascii="宋体" w:hAnsi="宋体"/>
          <w:color w:val="000000" w:themeColor="text1"/>
          <w:szCs w:val="21"/>
          <w:lang w:val="en-US" w:eastAsia="zh-CN"/>
          <w14:textFill>
            <w14:solidFill>
              <w14:schemeClr w14:val="tx1"/>
            </w14:solidFill>
          </w14:textFill>
        </w:rPr>
        <w:t>未</w:t>
      </w:r>
      <w:r>
        <w:rPr>
          <w:rFonts w:hint="eastAsia" w:ascii="宋体" w:hAnsi="宋体"/>
          <w:color w:val="000000" w:themeColor="text1"/>
          <w:szCs w:val="21"/>
          <w14:textFill>
            <w14:solidFill>
              <w14:schemeClr w14:val="tx1"/>
            </w14:solidFill>
          </w14:textFill>
        </w:rPr>
        <w:t>增关键测量过程，过程受控、监视方法正确有效，重要测量人员能力受控，测量设备、测量环境、测量软件、测量记录及外部供方管理等各项工作。综上所述，审核组认为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14:textFill>
            <w14:solidFill>
              <w14:schemeClr w14:val="tx1"/>
            </w14:solidFill>
          </w14:textFill>
        </w:rPr>
        <w:t>宝鸡市红星锻造有限责任公司</w:t>
      </w:r>
      <w:r>
        <w:rPr>
          <w:rFonts w:hint="eastAsia" w:ascii="宋体" w:hAnsi="宋体"/>
          <w:color w:val="000000" w:themeColor="text1"/>
          <w:szCs w:val="21"/>
          <w14:textFill>
            <w14:solidFill>
              <w14:schemeClr w14:val="tx1"/>
            </w14:solidFill>
          </w14:textFill>
        </w:rPr>
        <w:t>测量管理体系，符合GB/T 19022-2003标准要求，对体系运行具有持续的有效</w:t>
      </w:r>
      <w:r>
        <w:rPr>
          <w:rFonts w:hint="eastAsia" w:ascii="宋体" w:hAnsi="宋体"/>
          <w:szCs w:val="21"/>
        </w:rPr>
        <w:t>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1498600</wp:posOffset>
            </wp:positionH>
            <wp:positionV relativeFrom="paragraph">
              <wp:posOffset>283845</wp:posOffset>
            </wp:positionV>
            <wp:extent cx="325120" cy="250190"/>
            <wp:effectExtent l="0" t="0" r="5080" b="381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25120" cy="250190"/>
                    </a:xfrm>
                    <a:prstGeom prst="rect">
                      <a:avLst/>
                    </a:prstGeom>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2022.12.16</w:t>
      </w:r>
    </w:p>
    <w:p>
      <w:pPr>
        <w:widowControl/>
        <w:spacing w:line="360" w:lineRule="auto"/>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8"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8DC5FE"/>
    <w:multiLevelType w:val="singleLevel"/>
    <w:tmpl w:val="238DC5FE"/>
    <w:lvl w:ilvl="0" w:tentative="0">
      <w:start w:val="5"/>
      <w:numFmt w:val="decimal"/>
      <w:lvlText w:val="%1."/>
      <w:lvlJc w:val="left"/>
      <w:pPr>
        <w:tabs>
          <w:tab w:val="left" w:pos="312"/>
        </w:tabs>
      </w:pPr>
    </w:lvl>
  </w:abstractNum>
  <w:abstractNum w:abstractNumId="1">
    <w:nsid w:val="30D360AD"/>
    <w:multiLevelType w:val="singleLevel"/>
    <w:tmpl w:val="30D360AD"/>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08E73F7"/>
    <w:rsid w:val="342651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3</TotalTime>
  <ScaleCrop>false</ScaleCrop>
  <LinksUpToDate>false</LinksUpToDate>
  <CharactersWithSpaces>2165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2022-12-30T14:14:10Z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C4A7B0B4983C4B57BA8C511D890B2268</vt:lpwstr>
  </property>
</Properties>
</file>