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u w:val="single"/>
        </w:rPr>
        <w:t>0904-2021-EnMs-2022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sz w:val="21"/>
                <w:szCs w:val="21"/>
              </w:rPr>
              <w:t>山东胜利通海集团东营天蓝节能科技有限公司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hint="eastAsia" w:eastAsia="隶书"/>
                <w:b/>
                <w:color w:val="000000" w:themeColor="text1"/>
                <w:sz w:val="22"/>
                <w:szCs w:val="22"/>
                <w:lang w:eastAsia="zh-CN"/>
              </w:rPr>
            </w:pPr>
            <w:r>
              <w:rPr>
                <w:rFonts w:hint="eastAsia" w:eastAsia="隶书"/>
                <w:b/>
                <w:color w:val="000000" w:themeColor="text1"/>
                <w:sz w:val="22"/>
                <w:szCs w:val="22"/>
                <w:lang w:val="en-US" w:eastAsia="zh-CN"/>
              </w:rPr>
              <w:t>范玲玲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r>
              <w:rPr>
                <w:rFonts w:hint="eastAsia" w:ascii="宋体" w:hAnsi="宋体" w:eastAsia="宋体" w:cs="宋体"/>
                <w:i w:val="0"/>
                <w:iCs w:val="0"/>
                <w:caps w:val="0"/>
                <w:color w:val="000000"/>
                <w:spacing w:val="0"/>
                <w:sz w:val="21"/>
                <w:szCs w:val="21"/>
                <w:shd w:val="clear" w:fill="FFFFFF"/>
              </w:rPr>
              <w:t>R197ENMS210041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r>
              <w:rPr>
                <w:rFonts w:hint="eastAsia"/>
                <w:sz w:val="22"/>
                <w:szCs w:val="22"/>
                <w:lang w:val="en-US" w:eastAsia="zh-CN"/>
              </w:rPr>
              <w:t>91370503053439690L</w:t>
            </w:r>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2" w:name="认可标志"/>
            <w:r>
              <w:rPr>
                <w:rFonts w:hint="default" w:eastAsia="宋体"/>
                <w:sz w:val="22"/>
                <w:szCs w:val="22"/>
                <w:lang w:val="en-US" w:eastAsia="zh-CN"/>
              </w:rPr>
              <w:t>EnMS:未认可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3" w:name="Q勾选"/>
            <w:r>
              <w:rPr>
                <w:rFonts w:hint="eastAsia"/>
                <w:sz w:val="22"/>
                <w:szCs w:val="22"/>
              </w:rPr>
              <w:t>□</w:t>
            </w:r>
            <w:bookmarkEnd w:id="3"/>
            <w:r>
              <w:rPr>
                <w:rFonts w:hint="eastAsia"/>
                <w:sz w:val="22"/>
                <w:szCs w:val="22"/>
              </w:rPr>
              <w:t xml:space="preserve"> GB/T 19001-2016 idt ISO 9001:2015标准 (不适用：  条款)</w:t>
            </w:r>
          </w:p>
          <w:p>
            <w:pPr>
              <w:snapToGrid w:val="0"/>
              <w:spacing w:line="0" w:lineRule="atLeast"/>
              <w:jc w:val="left"/>
              <w:rPr>
                <w:sz w:val="22"/>
                <w:szCs w:val="22"/>
              </w:rPr>
            </w:pPr>
            <w:bookmarkStart w:id="4" w:name="QJ勾选"/>
            <w:r>
              <w:rPr>
                <w:rFonts w:hint="eastAsia"/>
                <w:sz w:val="22"/>
                <w:szCs w:val="22"/>
              </w:rPr>
              <w:t>□</w:t>
            </w:r>
            <w:bookmarkEnd w:id="4"/>
            <w:r>
              <w:rPr>
                <w:rFonts w:hint="eastAsia"/>
                <w:sz w:val="22"/>
                <w:szCs w:val="22"/>
              </w:rPr>
              <w:t xml:space="preserve">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 xml:space="preserve"> </w:t>
            </w:r>
            <w:r>
              <w:rPr>
                <w:rFonts w:hint="eastAsia"/>
                <w:sz w:val="22"/>
                <w:szCs w:val="22"/>
              </w:rPr>
              <w:t>GB/T 23331-2020 idt ISO 50001:2018标准；</w:t>
            </w:r>
          </w:p>
          <w:p>
            <w:pPr>
              <w:snapToGrid w:val="0"/>
              <w:spacing w:line="0" w:lineRule="atLeast"/>
              <w:jc w:val="left"/>
              <w:rPr>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 xml:space="preserve"> </w:t>
            </w:r>
            <w:r>
              <w:rPr>
                <w:rFonts w:hint="eastAsia"/>
                <w:sz w:val="22"/>
                <w:szCs w:val="22"/>
              </w:rPr>
              <w:t xml:space="preserve">RB/T </w:t>
            </w:r>
            <w:r>
              <w:rPr>
                <w:rFonts w:hint="eastAsia"/>
                <w:sz w:val="22"/>
                <w:szCs w:val="22"/>
                <w:lang w:val="en-US" w:eastAsia="zh-CN"/>
              </w:rPr>
              <w:t>119</w:t>
            </w:r>
            <w:r>
              <w:rPr>
                <w:rFonts w:hint="eastAsia"/>
                <w:sz w:val="22"/>
                <w:szCs w:val="22"/>
              </w:rPr>
              <w:t>-</w:t>
            </w:r>
            <w:r>
              <w:rPr>
                <w:rFonts w:hint="eastAsia"/>
                <w:sz w:val="22"/>
                <w:szCs w:val="22"/>
                <w:lang w:val="en-US" w:eastAsia="zh-CN"/>
              </w:rPr>
              <w:t>2015</w:t>
            </w:r>
            <w:r>
              <w:rPr>
                <w:rFonts w:hint="eastAsia"/>
                <w:sz w:val="22"/>
                <w:szCs w:val="22"/>
              </w:rPr>
              <w:t xml:space="preserve">                     </w:t>
            </w:r>
          </w:p>
          <w:p>
            <w:pPr>
              <w:snapToGrid w:val="0"/>
              <w:spacing w:line="0" w:lineRule="atLeast"/>
              <w:jc w:val="left"/>
              <w:rPr>
                <w:sz w:val="22"/>
                <w:szCs w:val="22"/>
              </w:rPr>
            </w:pPr>
            <w:bookmarkStart w:id="7" w:name="F勾选"/>
            <w:r>
              <w:rPr>
                <w:rFonts w:hint="eastAsia"/>
                <w:sz w:val="22"/>
                <w:szCs w:val="22"/>
              </w:rPr>
              <w:t>□</w:t>
            </w:r>
            <w:bookmarkEnd w:id="7"/>
            <w:r>
              <w:rPr>
                <w:rFonts w:hint="eastAsia"/>
                <w:sz w:val="22"/>
                <w:szCs w:val="22"/>
              </w:rPr>
              <w:t>ISO 22000-2018</w:t>
            </w:r>
          </w:p>
          <w:p>
            <w:pPr>
              <w:snapToGrid w:val="0"/>
              <w:spacing w:line="0" w:lineRule="atLeast"/>
              <w:jc w:val="left"/>
              <w:rPr>
                <w:sz w:val="22"/>
                <w:szCs w:val="22"/>
              </w:rPr>
            </w:pPr>
            <w:bookmarkStart w:id="8" w:name="H勾选"/>
            <w:r>
              <w:rPr>
                <w:rFonts w:hint="eastAsia"/>
                <w:sz w:val="22"/>
                <w:szCs w:val="22"/>
              </w:rPr>
              <w:t>□</w:t>
            </w:r>
            <w:bookmarkEnd w:id="8"/>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vAlign w:val="top"/>
          </w:tcPr>
          <w:p>
            <w:pPr>
              <w:snapToGrid w:val="0"/>
              <w:spacing w:line="0" w:lineRule="atLeast"/>
              <w:jc w:val="left"/>
              <w:rPr>
                <w:sz w:val="21"/>
                <w:szCs w:val="21"/>
                <w:lang w:val="en-GB"/>
              </w:rPr>
            </w:pPr>
            <w:r>
              <w:rPr>
                <w:rFonts w:hint="eastAsia" w:ascii="宋体" w:hAnsi="宋体" w:cs="宋体"/>
                <w:color w:val="000000"/>
                <w:kern w:val="0"/>
                <w:sz w:val="21"/>
                <w:szCs w:val="21"/>
              </w:rPr>
              <w:t>山东胜利通海集团东营天蓝节能科技有限公司</w:t>
            </w:r>
          </w:p>
        </w:tc>
        <w:tc>
          <w:tcPr>
            <w:tcW w:w="5013" w:type="dxa"/>
            <w:gridSpan w:val="4"/>
            <w:vMerge w:val="restart"/>
          </w:tcPr>
          <w:p>
            <w:pPr>
              <w:snapToGrid w:val="0"/>
              <w:spacing w:line="0" w:lineRule="atLeast"/>
              <w:jc w:val="left"/>
              <w:rPr>
                <w:sz w:val="22"/>
                <w:szCs w:val="22"/>
              </w:rPr>
            </w:pPr>
            <w:bookmarkStart w:id="13" w:name="审核范围"/>
            <w:r>
              <w:rPr>
                <w:rFonts w:hint="eastAsia" w:ascii="宋体" w:hAnsi="宋体" w:cs="宋体"/>
                <w:color w:val="000000"/>
                <w:kern w:val="0"/>
                <w:sz w:val="21"/>
                <w:szCs w:val="21"/>
              </w:rPr>
              <w:t>CCC资质范围内的配电开关控制设备的制造，仪器仪表设备（含压力仪表、温度仪表、含水分析仪表、液位计、流量类仪表及装置、载荷传感器、振动传感器、位移传感器、油井RTU及远程终端控制模块、油田采出水水质在线分析仪、电力有源滤波器）的设计生产，余热技术利用服务。</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vAlign w:val="top"/>
          </w:tcPr>
          <w:p>
            <w:pPr>
              <w:snapToGrid w:val="0"/>
              <w:spacing w:line="0" w:lineRule="atLeast"/>
              <w:jc w:val="left"/>
              <w:rPr>
                <w:sz w:val="21"/>
                <w:szCs w:val="21"/>
              </w:rPr>
            </w:pPr>
            <w:r>
              <w:rPr>
                <w:rFonts w:hint="eastAsia" w:ascii="宋体" w:hAnsi="宋体" w:cs="宋体"/>
                <w:color w:val="000000"/>
                <w:kern w:val="0"/>
                <w:sz w:val="21"/>
                <w:szCs w:val="21"/>
              </w:rPr>
              <w:t>东营市河口区和平街以南、河口二、三矿以西</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vAlign w:val="top"/>
          </w:tcPr>
          <w:p>
            <w:pPr>
              <w:snapToGrid w:val="0"/>
              <w:spacing w:line="0" w:lineRule="atLeast"/>
              <w:jc w:val="left"/>
              <w:rPr>
                <w:sz w:val="21"/>
                <w:szCs w:val="21"/>
              </w:rPr>
            </w:pPr>
            <w:r>
              <w:rPr>
                <w:rFonts w:hint="eastAsia" w:ascii="宋体" w:hAnsi="宋体" w:cs="宋体"/>
                <w:color w:val="000000"/>
                <w:kern w:val="0"/>
                <w:sz w:val="21"/>
                <w:szCs w:val="21"/>
              </w:rPr>
              <w:t>山东省东营市河口区通海科技楼</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679450" cy="277495"/>
                  <wp:effectExtent l="0" t="0" r="6350" b="1905"/>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5"/>
                          <a:stretch>
                            <a:fillRect/>
                          </a:stretch>
                        </pic:blipFill>
                        <pic:spPr>
                          <a:xfrm>
                            <a:off x="0" y="0"/>
                            <a:ext cx="679450" cy="277495"/>
                          </a:xfrm>
                          <a:prstGeom prst="rect">
                            <a:avLst/>
                          </a:prstGeom>
                        </pic:spPr>
                      </pic:pic>
                    </a:graphicData>
                  </a:graphic>
                </wp:inline>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val="0"/>
          <w:bCs/>
          <w:color w:val="000000" w:themeColor="text1"/>
          <w:sz w:val="22"/>
          <w:szCs w:val="22"/>
        </w:rPr>
      </w:pPr>
      <w:r>
        <w:rPr>
          <w:rFonts w:hint="eastAsia"/>
          <w:b w:val="0"/>
          <w:bCs/>
          <w:color w:val="000000" w:themeColor="text1"/>
          <w:sz w:val="22"/>
          <w:szCs w:val="22"/>
        </w:rPr>
        <w:t>获证组织名称：</w:t>
      </w:r>
      <w:r>
        <w:rPr>
          <w:b w:val="0"/>
          <w:bCs/>
          <w:sz w:val="21"/>
          <w:szCs w:val="21"/>
        </w:rPr>
        <w:t>山东胜利通海集团东营天蓝节能科技有限公司</w:t>
      </w:r>
      <w:r>
        <w:rPr>
          <w:rFonts w:hint="eastAsia"/>
          <w:b w:val="0"/>
          <w:bCs/>
          <w:color w:val="000000" w:themeColor="text1"/>
          <w:sz w:val="22"/>
          <w:szCs w:val="22"/>
          <w:lang w:val="en-US" w:eastAsia="zh-CN"/>
        </w:rPr>
        <w:t xml:space="preserve">  </w:t>
      </w:r>
      <w:r>
        <w:rPr>
          <w:rFonts w:hint="eastAsia"/>
          <w:b w:val="0"/>
          <w:bCs/>
          <w:color w:val="000000" w:themeColor="text1"/>
          <w:sz w:val="22"/>
          <w:szCs w:val="22"/>
        </w:rPr>
        <w:t>证书注册号：</w:t>
      </w:r>
      <w:r>
        <w:rPr>
          <w:rFonts w:hint="eastAsia" w:ascii="宋体" w:hAnsi="宋体" w:eastAsia="宋体" w:cs="宋体"/>
          <w:b w:val="0"/>
          <w:bCs/>
          <w:i w:val="0"/>
          <w:iCs w:val="0"/>
          <w:caps w:val="0"/>
          <w:color w:val="000000"/>
          <w:spacing w:val="0"/>
          <w:sz w:val="21"/>
          <w:szCs w:val="21"/>
          <w:shd w:val="clear" w:fill="FFFFFF"/>
        </w:rPr>
        <w:t>R197ENMS210041</w:t>
      </w:r>
    </w:p>
    <w:p>
      <w:pPr>
        <w:pStyle w:val="3"/>
        <w:spacing w:line="400" w:lineRule="exact"/>
        <w:ind w:firstLine="0"/>
        <w:rPr>
          <w:rFonts w:asciiTheme="minorEastAsia" w:hAnsiTheme="minorEastAsia" w:eastAsiaTheme="minorEastAsia"/>
          <w:b w:val="0"/>
          <w:bCs/>
          <w:sz w:val="21"/>
          <w:szCs w:val="21"/>
        </w:rPr>
      </w:pPr>
      <w:r>
        <w:rPr>
          <w:rFonts w:hint="eastAsia"/>
          <w:b w:val="0"/>
          <w:bCs/>
          <w:color w:val="000000" w:themeColor="text1"/>
          <w:sz w:val="21"/>
          <w:szCs w:val="21"/>
        </w:rPr>
        <w:t>获证组织</w:t>
      </w:r>
      <w:r>
        <w:rPr>
          <w:rFonts w:hint="eastAsia"/>
          <w:b w:val="0"/>
          <w:bCs/>
          <w:color w:val="000000" w:themeColor="text1"/>
          <w:sz w:val="21"/>
          <w:szCs w:val="21"/>
          <w:lang w:val="en-US" w:eastAsia="zh-CN"/>
        </w:rPr>
        <w:t>注册</w:t>
      </w:r>
      <w:r>
        <w:rPr>
          <w:rFonts w:hint="eastAsia"/>
          <w:b w:val="0"/>
          <w:bCs/>
          <w:color w:val="000000" w:themeColor="text1"/>
          <w:sz w:val="21"/>
          <w:szCs w:val="21"/>
        </w:rPr>
        <w:t>地址：</w:t>
      </w:r>
      <w:bookmarkStart w:id="14" w:name="注册地址"/>
      <w:r>
        <w:rPr>
          <w:rFonts w:asciiTheme="minorEastAsia" w:hAnsiTheme="minorEastAsia" w:eastAsiaTheme="minorEastAsia"/>
          <w:b w:val="0"/>
          <w:bCs/>
          <w:sz w:val="21"/>
          <w:szCs w:val="21"/>
        </w:rPr>
        <w:t>东营市河口区和平街以南、河口二、三矿以西</w:t>
      </w:r>
      <w:bookmarkEnd w:id="14"/>
    </w:p>
    <w:p>
      <w:pPr>
        <w:pStyle w:val="3"/>
        <w:spacing w:line="400" w:lineRule="exact"/>
        <w:ind w:firstLine="0"/>
        <w:rPr>
          <w:rFonts w:hint="default" w:asciiTheme="minorEastAsia" w:hAnsiTheme="minorEastAsia" w:eastAsiaTheme="minorEastAsia"/>
          <w:b w:val="0"/>
          <w:bCs/>
          <w:sz w:val="21"/>
          <w:szCs w:val="21"/>
          <w:lang w:val="en-US" w:eastAsia="zh-CN"/>
        </w:rPr>
      </w:pPr>
      <w:r>
        <w:rPr>
          <w:rFonts w:hint="eastAsia" w:asciiTheme="minorEastAsia" w:hAnsiTheme="minorEastAsia" w:eastAsiaTheme="minorEastAsia"/>
          <w:b w:val="0"/>
          <w:bCs/>
          <w:sz w:val="21"/>
          <w:szCs w:val="21"/>
          <w:lang w:val="en-US" w:eastAsia="zh-CN"/>
        </w:rPr>
        <w:t xml:space="preserve">          经营地址：</w:t>
      </w:r>
      <w:bookmarkStart w:id="15" w:name="生产地址"/>
      <w:r>
        <w:rPr>
          <w:rFonts w:asciiTheme="minorEastAsia" w:hAnsiTheme="minorEastAsia" w:eastAsiaTheme="minorEastAsia"/>
          <w:b w:val="0"/>
          <w:bCs/>
          <w:sz w:val="21"/>
          <w:szCs w:val="21"/>
        </w:rPr>
        <w:t>山东省东营市河口区通海科技楼</w:t>
      </w:r>
      <w:bookmarkEnd w:id="15"/>
    </w:p>
    <w:p>
      <w:pPr>
        <w:pStyle w:val="3"/>
        <w:spacing w:line="400" w:lineRule="exact"/>
        <w:ind w:firstLine="0"/>
        <w:rPr>
          <w:b w:val="0"/>
          <w:bCs/>
          <w:color w:val="000000" w:themeColor="text1"/>
          <w:sz w:val="22"/>
          <w:szCs w:val="22"/>
        </w:rPr>
      </w:pPr>
      <w:r>
        <w:rPr>
          <w:rFonts w:hint="eastAsia"/>
          <w:b w:val="0"/>
          <w:bCs/>
          <w:color w:val="000000" w:themeColor="text1"/>
          <w:sz w:val="22"/>
          <w:szCs w:val="22"/>
        </w:rPr>
        <w:t>认证依据标准：GB/T 23331-2020/ISO50001:2018《能源管理体系 要求及使用指南》</w:t>
      </w:r>
    </w:p>
    <w:p>
      <w:pPr>
        <w:ind w:firstLine="1540" w:firstLineChars="700"/>
        <w:rPr>
          <w:rFonts w:hint="default" w:eastAsia="宋体"/>
          <w:b w:val="0"/>
          <w:bCs/>
          <w:color w:val="000000" w:themeColor="text1"/>
          <w:sz w:val="22"/>
          <w:szCs w:val="22"/>
          <w:lang w:val="en-US" w:eastAsia="zh-CN"/>
        </w:rPr>
      </w:pPr>
      <w:r>
        <w:rPr>
          <w:rFonts w:hint="eastAsia"/>
          <w:b w:val="0"/>
          <w:bCs/>
          <w:color w:val="000000" w:themeColor="text1"/>
          <w:sz w:val="22"/>
          <w:szCs w:val="22"/>
        </w:rPr>
        <w:t>&amp;RB/T</w:t>
      </w:r>
      <w:r>
        <w:rPr>
          <w:rFonts w:hint="eastAsia"/>
          <w:b w:val="0"/>
          <w:bCs/>
          <w:color w:val="000000" w:themeColor="text1"/>
          <w:sz w:val="22"/>
          <w:szCs w:val="22"/>
          <w:lang w:val="en-US" w:eastAsia="zh-CN"/>
        </w:rPr>
        <w:t>119</w:t>
      </w:r>
      <w:r>
        <w:rPr>
          <w:rFonts w:hint="eastAsia" w:ascii="宋体" w:hAnsi="宋体" w:eastAsia="宋体" w:cs="Times New Roman"/>
          <w:b w:val="0"/>
          <w:bCs/>
          <w:sz w:val="21"/>
          <w:szCs w:val="21"/>
          <w:highlight w:val="none"/>
          <w:lang w:val="de-DE"/>
        </w:rPr>
        <w:t>-201</w:t>
      </w:r>
      <w:r>
        <w:rPr>
          <w:rFonts w:hint="eastAsia" w:ascii="宋体" w:hAnsi="宋体" w:cs="Times New Roman"/>
          <w:b w:val="0"/>
          <w:bCs/>
          <w:sz w:val="21"/>
          <w:szCs w:val="21"/>
          <w:highlight w:val="none"/>
          <w:lang w:val="en-US" w:eastAsia="zh-CN"/>
        </w:rPr>
        <w:t>5</w:t>
      </w:r>
      <w:r>
        <w:rPr>
          <w:rFonts w:hint="eastAsia" w:ascii="宋体" w:hAnsi="宋体" w:eastAsia="宋体" w:cs="Times New Roman"/>
          <w:b w:val="0"/>
          <w:bCs/>
          <w:sz w:val="21"/>
          <w:szCs w:val="21"/>
          <w:highlight w:val="none"/>
          <w:lang w:val="de-DE"/>
        </w:rPr>
        <w:t xml:space="preserve"> </w:t>
      </w:r>
      <w:r>
        <w:rPr>
          <w:rFonts w:hint="eastAsia" w:ascii="宋体" w:hAnsi="宋体" w:eastAsia="宋体" w:cs="宋体"/>
          <w:b w:val="0"/>
          <w:bCs/>
          <w:color w:val="000000"/>
          <w:kern w:val="0"/>
          <w:sz w:val="21"/>
          <w:szCs w:val="21"/>
          <w:lang w:val="en-US" w:eastAsia="zh-CN" w:bidi="ar"/>
        </w:rPr>
        <w:t>RB/T119-2015 能源管理体系 机械制造 行业认证要求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085"/>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08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348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vAlign w:val="top"/>
          </w:tcPr>
          <w:p>
            <w:pPr>
              <w:pStyle w:val="3"/>
              <w:keepNext w:val="0"/>
              <w:keepLines w:val="0"/>
              <w:pageBreakBefore w:val="0"/>
              <w:widowControl w:val="0"/>
              <w:kinsoku/>
              <w:wordWrap/>
              <w:overflowPunct/>
              <w:topLinePunct w:val="0"/>
              <w:autoSpaceDE/>
              <w:autoSpaceDN/>
              <w:bidi w:val="0"/>
              <w:adjustRightInd/>
              <w:spacing w:after="0" w:line="400" w:lineRule="exact"/>
              <w:ind w:firstLine="0"/>
              <w:textAlignment w:val="auto"/>
              <w:rPr>
                <w:sz w:val="20"/>
                <w:szCs w:val="22"/>
              </w:rPr>
            </w:pPr>
            <w:r>
              <w:rPr>
                <w:rFonts w:hint="eastAsia"/>
                <w:sz w:val="20"/>
                <w:szCs w:val="22"/>
              </w:rPr>
              <w:t>初次审核</w:t>
            </w:r>
          </w:p>
          <w:p>
            <w:pPr>
              <w:pStyle w:val="3"/>
              <w:keepNext w:val="0"/>
              <w:keepLines w:val="0"/>
              <w:pageBreakBefore w:val="0"/>
              <w:widowControl w:val="0"/>
              <w:kinsoku/>
              <w:wordWrap/>
              <w:overflowPunct/>
              <w:topLinePunct w:val="0"/>
              <w:autoSpaceDE/>
              <w:autoSpaceDN/>
              <w:bidi w:val="0"/>
              <w:adjustRightInd/>
              <w:spacing w:after="0" w:line="400" w:lineRule="exact"/>
              <w:ind w:firstLine="0"/>
              <w:textAlignment w:val="auto"/>
              <w:rPr>
                <w:rFonts w:ascii="宋体" w:hAnsi="宋体"/>
                <w:b/>
                <w:color w:val="000000" w:themeColor="text1"/>
                <w:sz w:val="24"/>
                <w:szCs w:val="24"/>
              </w:rPr>
            </w:pPr>
            <w:r>
              <w:rPr>
                <w:rFonts w:hint="eastAsia"/>
                <w:sz w:val="20"/>
                <w:szCs w:val="22"/>
              </w:rPr>
              <w:t>年月日</w:t>
            </w:r>
          </w:p>
        </w:tc>
        <w:tc>
          <w:tcPr>
            <w:tcW w:w="4085" w:type="dxa"/>
            <w:vAlign w:val="top"/>
          </w:tcPr>
          <w:p>
            <w:pPr>
              <w:keepNext w:val="0"/>
              <w:keepLines w:val="0"/>
              <w:pageBreakBefore w:val="0"/>
              <w:widowControl w:val="0"/>
              <w:kinsoku/>
              <w:wordWrap/>
              <w:overflowPunct/>
              <w:topLinePunct w:val="0"/>
              <w:autoSpaceDE/>
              <w:autoSpaceDN/>
              <w:bidi w:val="0"/>
              <w:adjustRightInd/>
              <w:spacing w:after="0"/>
              <w:textAlignment w:val="auto"/>
              <w:rPr>
                <w:rFonts w:hint="eastAsia"/>
                <w:sz w:val="20"/>
                <w:szCs w:val="22"/>
              </w:rPr>
            </w:pPr>
            <w:r>
              <w:rPr>
                <w:rFonts w:hint="eastAsia"/>
                <w:b/>
                <w:bCs/>
                <w:sz w:val="20"/>
                <w:szCs w:val="22"/>
              </w:rPr>
              <w:t>能耗统计期：</w:t>
            </w:r>
          </w:p>
          <w:p>
            <w:pPr>
              <w:pStyle w:val="3"/>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485" w:type="dxa"/>
            <w:vMerge w:val="restart"/>
            <w:vAlign w:val="top"/>
          </w:tcPr>
          <w:p>
            <w:pPr>
              <w:pStyle w:val="3"/>
              <w:keepNext w:val="0"/>
              <w:keepLines w:val="0"/>
              <w:pageBreakBefore w:val="0"/>
              <w:widowControl w:val="0"/>
              <w:kinsoku/>
              <w:wordWrap/>
              <w:overflowPunct/>
              <w:topLinePunct w:val="0"/>
              <w:autoSpaceDE/>
              <w:autoSpaceDN/>
              <w:bidi w:val="0"/>
              <w:adjustRightInd/>
              <w:snapToGrid w:val="0"/>
              <w:spacing w:after="0" w:line="320" w:lineRule="exact"/>
              <w:ind w:firstLine="0" w:firstLineChars="0"/>
              <w:textAlignment w:val="auto"/>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sz w:val="20"/>
                <w:szCs w:val="22"/>
              </w:rPr>
            </w:pPr>
          </w:p>
        </w:tc>
        <w:tc>
          <w:tcPr>
            <w:tcW w:w="4085" w:type="dxa"/>
            <w:vAlign w:val="top"/>
          </w:tcPr>
          <w:p>
            <w:pPr>
              <w:pStyle w:val="3"/>
              <w:keepNext w:val="0"/>
              <w:keepLines w:val="0"/>
              <w:pageBreakBefore w:val="0"/>
              <w:widowControl w:val="0"/>
              <w:kinsoku/>
              <w:wordWrap/>
              <w:overflowPunct/>
              <w:topLinePunct w:val="0"/>
              <w:autoSpaceDE/>
              <w:autoSpaceDN/>
              <w:bidi w:val="0"/>
              <w:adjustRightInd/>
              <w:spacing w:after="0" w:line="320" w:lineRule="exact"/>
              <w:ind w:firstLine="0"/>
              <w:textAlignment w:val="auto"/>
              <w:rPr>
                <w:rFonts w:hint="default"/>
                <w:b/>
                <w:bCs/>
                <w:sz w:val="20"/>
                <w:lang w:val="en-US" w:eastAsia="zh-CN"/>
              </w:rPr>
            </w:pPr>
            <w:r>
              <w:rPr>
                <w:rFonts w:hint="eastAsia"/>
                <w:b/>
                <w:bCs/>
                <w:sz w:val="20"/>
                <w:lang w:val="en-US" w:eastAsia="zh-CN"/>
              </w:rPr>
              <w:t>产量：</w:t>
            </w:r>
          </w:p>
          <w:p>
            <w:pPr>
              <w:pStyle w:val="3"/>
              <w:keepNext w:val="0"/>
              <w:keepLines w:val="0"/>
              <w:pageBreakBefore w:val="0"/>
              <w:widowControl w:val="0"/>
              <w:kinsoku/>
              <w:wordWrap/>
              <w:overflowPunct/>
              <w:topLinePunct w:val="0"/>
              <w:autoSpaceDE/>
              <w:autoSpaceDN/>
              <w:bidi w:val="0"/>
              <w:adjustRightInd/>
              <w:spacing w:after="0" w:line="320" w:lineRule="exact"/>
              <w:ind w:firstLine="0" w:firstLineChars="0"/>
              <w:textAlignment w:val="auto"/>
              <w:rPr>
                <w:rFonts w:ascii="宋体" w:hAnsi="宋体"/>
                <w:b/>
                <w:color w:val="000000" w:themeColor="text1"/>
                <w:szCs w:val="24"/>
              </w:rPr>
            </w:pPr>
            <w:r>
              <w:rPr>
                <w:rFonts w:hint="eastAsia"/>
                <w:b/>
                <w:bCs/>
                <w:sz w:val="20"/>
                <w:lang w:val="en-US" w:eastAsia="zh-CN"/>
              </w:rPr>
              <w:t>产值（万元）：</w:t>
            </w:r>
          </w:p>
        </w:tc>
        <w:tc>
          <w:tcPr>
            <w:tcW w:w="3485"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320" w:lineRule="exact"/>
              <w:ind w:firstLine="0" w:firstLineChars="0"/>
              <w:textAlignment w:val="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6"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sz w:val="20"/>
                <w:szCs w:val="22"/>
              </w:rPr>
            </w:pPr>
          </w:p>
        </w:tc>
        <w:tc>
          <w:tcPr>
            <w:tcW w:w="4085" w:type="dxa"/>
            <w:vAlign w:val="top"/>
          </w:tcPr>
          <w:p>
            <w:pPr>
              <w:pStyle w:val="3"/>
              <w:keepNext w:val="0"/>
              <w:keepLines w:val="0"/>
              <w:pageBreakBefore w:val="0"/>
              <w:widowControl w:val="0"/>
              <w:kinsoku/>
              <w:wordWrap/>
              <w:overflowPunct/>
              <w:topLinePunct w:val="0"/>
              <w:autoSpaceDE/>
              <w:autoSpaceDN/>
              <w:bidi w:val="0"/>
              <w:adjustRightInd/>
              <w:spacing w:after="0" w:line="320" w:lineRule="exact"/>
              <w:ind w:firstLine="0" w:firstLineChars="0"/>
              <w:textAlignment w:val="auto"/>
              <w:rPr>
                <w:rFonts w:ascii="宋体" w:hAnsi="宋体"/>
                <w:b/>
                <w:color w:val="000000" w:themeColor="text1"/>
                <w:szCs w:val="24"/>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tc>
        <w:tc>
          <w:tcPr>
            <w:tcW w:w="3485"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320" w:lineRule="exact"/>
              <w:ind w:firstLine="0" w:firstLineChars="0"/>
              <w:textAlignment w:val="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6"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sz w:val="20"/>
                <w:szCs w:val="22"/>
              </w:rPr>
            </w:pPr>
          </w:p>
        </w:tc>
        <w:tc>
          <w:tcPr>
            <w:tcW w:w="4085" w:type="dxa"/>
            <w:vAlign w:val="top"/>
          </w:tcPr>
          <w:p>
            <w:pPr>
              <w:keepNext w:val="0"/>
              <w:keepLines w:val="0"/>
              <w:pageBreakBefore w:val="0"/>
              <w:widowControl w:val="0"/>
              <w:kinsoku/>
              <w:wordWrap/>
              <w:overflowPunct/>
              <w:topLinePunct w:val="0"/>
              <w:autoSpaceDE/>
              <w:autoSpaceDN/>
              <w:bidi w:val="0"/>
              <w:adjustRightInd/>
              <w:spacing w:after="0"/>
              <w:textAlignment w:val="auto"/>
              <w:rPr>
                <w:rFonts w:ascii="宋体" w:hAnsi="宋体"/>
                <w:b/>
                <w:color w:val="000000" w:themeColor="text1"/>
                <w:szCs w:val="24"/>
              </w:rPr>
            </w:pPr>
            <w:r>
              <w:rPr>
                <w:rFonts w:hint="eastAsia"/>
                <w:b/>
                <w:bCs/>
                <w:sz w:val="20"/>
                <w:szCs w:val="22"/>
                <w:lang w:val="en-US" w:eastAsia="zh-CN"/>
              </w:rPr>
              <w:t>单位产品生产能耗：</w:t>
            </w:r>
          </w:p>
        </w:tc>
        <w:tc>
          <w:tcPr>
            <w:tcW w:w="3485"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320" w:lineRule="exact"/>
              <w:ind w:firstLine="0" w:firstLineChars="0"/>
              <w:textAlignment w:val="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36"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sz w:val="20"/>
                <w:szCs w:val="22"/>
              </w:rPr>
            </w:pPr>
          </w:p>
        </w:tc>
        <w:tc>
          <w:tcPr>
            <w:tcW w:w="4085" w:type="dxa"/>
            <w:vAlign w:val="top"/>
          </w:tcPr>
          <w:p>
            <w:pPr>
              <w:keepNext w:val="0"/>
              <w:keepLines w:val="0"/>
              <w:pageBreakBefore w:val="0"/>
              <w:widowControl w:val="0"/>
              <w:kinsoku/>
              <w:wordWrap/>
              <w:overflowPunct/>
              <w:topLinePunct w:val="0"/>
              <w:autoSpaceDE/>
              <w:autoSpaceDN/>
              <w:bidi w:val="0"/>
              <w:adjustRightInd/>
              <w:spacing w:after="0"/>
              <w:textAlignment w:val="auto"/>
              <w:rPr>
                <w:rFonts w:hint="eastAsia"/>
                <w:sz w:val="20"/>
                <w:szCs w:val="22"/>
                <w:lang w:val="en-US" w:eastAsia="zh-CN"/>
              </w:rPr>
            </w:pPr>
            <w:r>
              <w:rPr>
                <w:rFonts w:hint="eastAsia"/>
                <w:b/>
                <w:bCs/>
                <w:sz w:val="20"/>
                <w:szCs w:val="22"/>
                <w:lang w:val="en-US" w:eastAsia="zh-CN"/>
              </w:rPr>
              <w:t>节能量（吨标准煤）：</w:t>
            </w:r>
          </w:p>
          <w:p>
            <w:pPr>
              <w:keepNext w:val="0"/>
              <w:keepLines w:val="0"/>
              <w:pageBreakBefore w:val="0"/>
              <w:widowControl w:val="0"/>
              <w:kinsoku/>
              <w:wordWrap/>
              <w:overflowPunct/>
              <w:topLinePunct w:val="0"/>
              <w:autoSpaceDE/>
              <w:autoSpaceDN/>
              <w:bidi w:val="0"/>
              <w:adjustRightInd/>
              <w:spacing w:after="0"/>
              <w:textAlignment w:val="auto"/>
              <w:rPr>
                <w:sz w:val="20"/>
                <w:szCs w:val="22"/>
              </w:rPr>
            </w:pPr>
            <w:r>
              <w:rPr>
                <w:rFonts w:hint="eastAsia"/>
                <w:sz w:val="20"/>
                <w:szCs w:val="22"/>
                <w:lang w:val="en-US" w:eastAsia="zh-CN"/>
              </w:rPr>
              <w:t>——</w:t>
            </w:r>
          </w:p>
        </w:tc>
        <w:tc>
          <w:tcPr>
            <w:tcW w:w="3485" w:type="dxa"/>
            <w:vMerge w:val="continue"/>
            <w:vAlign w:val="top"/>
          </w:tcPr>
          <w:p>
            <w:pPr>
              <w:pStyle w:val="3"/>
              <w:keepNext w:val="0"/>
              <w:keepLines w:val="0"/>
              <w:pageBreakBefore w:val="0"/>
              <w:widowControl w:val="0"/>
              <w:kinsoku/>
              <w:wordWrap/>
              <w:overflowPunct/>
              <w:topLinePunct w:val="0"/>
              <w:autoSpaceDE/>
              <w:autoSpaceDN/>
              <w:bidi w:val="0"/>
              <w:adjustRightInd/>
              <w:spacing w:after="0" w:line="320" w:lineRule="exact"/>
              <w:ind w:firstLine="0" w:firstLineChars="0"/>
              <w:textAlignment w:val="auto"/>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vAlign w:val="top"/>
          </w:tcPr>
          <w:p>
            <w:pPr>
              <w:pStyle w:val="3"/>
              <w:keepNext w:val="0"/>
              <w:keepLines w:val="0"/>
              <w:pageBreakBefore w:val="0"/>
              <w:widowControl w:val="0"/>
              <w:kinsoku/>
              <w:wordWrap/>
              <w:overflowPunct/>
              <w:topLinePunct w:val="0"/>
              <w:autoSpaceDE/>
              <w:autoSpaceDN/>
              <w:bidi w:val="0"/>
              <w:adjustRightInd/>
              <w:spacing w:after="0" w:line="400" w:lineRule="exact"/>
              <w:ind w:firstLine="0"/>
              <w:textAlignment w:val="auto"/>
              <w:rPr>
                <w:sz w:val="20"/>
                <w:szCs w:val="22"/>
              </w:rPr>
            </w:pPr>
            <w:r>
              <w:rPr>
                <w:rFonts w:hint="eastAsia"/>
                <w:sz w:val="20"/>
                <w:szCs w:val="22"/>
                <w:lang w:val="en-US" w:eastAsia="zh-CN"/>
              </w:rPr>
              <w:t>第一次监督</w:t>
            </w:r>
            <w:r>
              <w:rPr>
                <w:rFonts w:hint="eastAsia"/>
                <w:sz w:val="20"/>
                <w:szCs w:val="22"/>
              </w:rPr>
              <w:t>审核</w:t>
            </w:r>
          </w:p>
          <w:p>
            <w:pPr>
              <w:pStyle w:val="3"/>
              <w:keepNext w:val="0"/>
              <w:keepLines w:val="0"/>
              <w:pageBreakBefore w:val="0"/>
              <w:widowControl w:val="0"/>
              <w:kinsoku/>
              <w:wordWrap/>
              <w:overflowPunct/>
              <w:topLinePunct w:val="0"/>
              <w:autoSpaceDE/>
              <w:autoSpaceDN/>
              <w:bidi w:val="0"/>
              <w:adjustRightInd/>
              <w:spacing w:after="0" w:line="400" w:lineRule="exact"/>
              <w:ind w:firstLine="0"/>
              <w:textAlignment w:val="auto"/>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12</w:t>
            </w:r>
            <w:r>
              <w:rPr>
                <w:rFonts w:hint="eastAsia"/>
                <w:sz w:val="20"/>
                <w:szCs w:val="22"/>
              </w:rPr>
              <w:t>月</w:t>
            </w:r>
          </w:p>
          <w:p>
            <w:pPr>
              <w:pStyle w:val="3"/>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rFonts w:ascii="宋体" w:hAnsi="宋体"/>
                <w:b/>
                <w:color w:val="000000" w:themeColor="text1"/>
                <w:sz w:val="24"/>
                <w:szCs w:val="24"/>
              </w:rPr>
            </w:pPr>
            <w:r>
              <w:rPr>
                <w:rFonts w:hint="eastAsia"/>
                <w:sz w:val="20"/>
                <w:szCs w:val="22"/>
                <w:u w:val="single"/>
                <w:lang w:val="en-US" w:eastAsia="zh-CN"/>
              </w:rPr>
              <w:t>15</w:t>
            </w:r>
            <w:r>
              <w:rPr>
                <w:rFonts w:hint="eastAsia"/>
                <w:sz w:val="20"/>
                <w:szCs w:val="22"/>
              </w:rPr>
              <w:t>日</w:t>
            </w:r>
          </w:p>
        </w:tc>
        <w:tc>
          <w:tcPr>
            <w:tcW w:w="4085" w:type="dxa"/>
            <w:vAlign w:val="top"/>
          </w:tcPr>
          <w:p>
            <w:pPr>
              <w:keepNext w:val="0"/>
              <w:keepLines w:val="0"/>
              <w:pageBreakBefore w:val="0"/>
              <w:widowControl w:val="0"/>
              <w:kinsoku/>
              <w:wordWrap/>
              <w:overflowPunct/>
              <w:topLinePunct w:val="0"/>
              <w:autoSpaceDE/>
              <w:autoSpaceDN/>
              <w:bidi w:val="0"/>
              <w:adjustRightInd/>
              <w:spacing w:after="0"/>
              <w:textAlignment w:val="auto"/>
              <w:rPr>
                <w:rFonts w:hint="eastAsia"/>
                <w:sz w:val="20"/>
                <w:szCs w:val="22"/>
              </w:rPr>
            </w:pPr>
            <w:r>
              <w:rPr>
                <w:rFonts w:hint="eastAsia"/>
                <w:b/>
                <w:bCs/>
                <w:sz w:val="20"/>
                <w:szCs w:val="22"/>
              </w:rPr>
              <w:t>能耗统计期：</w:t>
            </w:r>
          </w:p>
          <w:p>
            <w:pPr>
              <w:pStyle w:val="3"/>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01至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3485" w:type="dxa"/>
            <w:vMerge w:val="restart"/>
            <w:vAlign w:val="top"/>
          </w:tcPr>
          <w:p>
            <w:pPr>
              <w:pStyle w:val="3"/>
              <w:spacing w:line="240" w:lineRule="auto"/>
              <w:ind w:firstLine="0"/>
              <w:rPr>
                <w:rFonts w:hint="eastAsia" w:ascii="Times New Roman" w:hAnsi="Times New Roman" w:eastAsia="宋体" w:cs="Times New Roman"/>
                <w:b w:val="0"/>
                <w:bCs/>
                <w:color w:val="000000"/>
                <w:sz w:val="21"/>
                <w:szCs w:val="21"/>
                <w:u w:val="none"/>
                <w:lang w:val="en-US" w:eastAsia="zh-CN"/>
              </w:rPr>
            </w:pPr>
            <w:r>
              <w:rPr>
                <w:rFonts w:hint="eastAsia" w:ascii="Times New Roman" w:hAnsi="Times New Roman" w:eastAsia="宋体" w:cs="Times New Roman"/>
                <w:b w:val="0"/>
                <w:bCs/>
                <w:color w:val="000000"/>
                <w:sz w:val="21"/>
                <w:szCs w:val="21"/>
                <w:u w:val="none"/>
                <w:lang w:val="en-US" w:eastAsia="zh-CN"/>
              </w:rPr>
              <w:t>位于山东省东营市河口区通海科技楼的山东胜利通海集团东营天蓝节能科技有限公司范围内的相关能源管理活动；</w:t>
            </w:r>
          </w:p>
          <w:p>
            <w:pPr>
              <w:pStyle w:val="3"/>
              <w:spacing w:line="320" w:lineRule="exact"/>
              <w:ind w:firstLine="0"/>
              <w:rPr>
                <w:rFonts w:ascii="宋体" w:hAnsi="宋体"/>
                <w:b/>
                <w:color w:val="000000" w:themeColor="text1"/>
                <w:sz w:val="24"/>
                <w:szCs w:val="24"/>
              </w:rPr>
            </w:pPr>
            <w:r>
              <w:rPr>
                <w:rFonts w:hint="eastAsia" w:ascii="Times New Roman" w:hAnsi="Times New Roman" w:eastAsia="宋体" w:cs="Times New Roman"/>
                <w:sz w:val="21"/>
                <w:szCs w:val="21"/>
                <w:lang w:val="en-US" w:eastAsia="zh-CN"/>
              </w:rPr>
              <w:t>相关部门：</w:t>
            </w:r>
            <w:r>
              <w:rPr>
                <w:rFonts w:hint="eastAsia" w:cs="Times New Roman"/>
                <w:sz w:val="21"/>
                <w:szCs w:val="21"/>
                <w:lang w:val="en-US" w:eastAsia="zh-CN"/>
              </w:rPr>
              <w:t>管理层、综合</w:t>
            </w:r>
            <w:r>
              <w:rPr>
                <w:rFonts w:hint="eastAsia" w:ascii="Times New Roman" w:hAnsi="Times New Roman" w:eastAsia="宋体" w:cs="Times New Roman"/>
                <w:sz w:val="21"/>
                <w:szCs w:val="21"/>
                <w:lang w:val="en-US" w:eastAsia="zh-CN"/>
              </w:rPr>
              <w:t>部、</w:t>
            </w:r>
            <w:r>
              <w:rPr>
                <w:rFonts w:hint="eastAsia" w:cs="Times New Roman"/>
                <w:sz w:val="21"/>
                <w:szCs w:val="21"/>
                <w:lang w:val="en-US" w:eastAsia="zh-CN"/>
              </w:rPr>
              <w:t>项目</w:t>
            </w:r>
            <w:r>
              <w:rPr>
                <w:rFonts w:hint="eastAsia" w:ascii="Times New Roman" w:hAnsi="Times New Roman" w:eastAsia="宋体" w:cs="Times New Roman"/>
                <w:sz w:val="21"/>
                <w:szCs w:val="21"/>
                <w:lang w:val="en-US" w:eastAsia="zh-CN"/>
              </w:rPr>
              <w:t>部、</w:t>
            </w:r>
            <w:r>
              <w:rPr>
                <w:rFonts w:hint="eastAsia" w:cs="Times New Roman"/>
                <w:sz w:val="21"/>
                <w:szCs w:val="21"/>
                <w:lang w:val="en-US" w:eastAsia="zh-CN"/>
              </w:rPr>
              <w:t>工程</w:t>
            </w:r>
            <w:r>
              <w:rPr>
                <w:rFonts w:hint="eastAsia" w:ascii="Times New Roman" w:hAnsi="Times New Roman" w:eastAsia="宋体" w:cs="Times New Roman"/>
                <w:sz w:val="21"/>
                <w:szCs w:val="21"/>
                <w:lang w:val="en-US" w:eastAsia="zh-CN"/>
              </w:rPr>
              <w:t>部</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085" w:type="dxa"/>
          </w:tcPr>
          <w:p>
            <w:pPr>
              <w:pStyle w:val="3"/>
              <w:spacing w:line="320" w:lineRule="exact"/>
              <w:ind w:firstLine="0"/>
              <w:rPr>
                <w:rFonts w:hint="default" w:eastAsia="宋体"/>
                <w:b/>
                <w:bCs/>
                <w:sz w:val="20"/>
                <w:highlight w:val="none"/>
                <w:lang w:val="en-US" w:eastAsia="zh-CN"/>
              </w:rPr>
            </w:pPr>
            <w:r>
              <w:rPr>
                <w:rFonts w:hint="eastAsia"/>
                <w:b/>
                <w:bCs/>
                <w:sz w:val="20"/>
                <w:highlight w:val="none"/>
              </w:rPr>
              <w:t>产量：</w:t>
            </w:r>
          </w:p>
          <w:p>
            <w:pPr>
              <w:pStyle w:val="3"/>
              <w:spacing w:line="320" w:lineRule="exact"/>
              <w:ind w:firstLine="0"/>
              <w:rPr>
                <w:rFonts w:ascii="宋体" w:hAnsi="宋体"/>
                <w:b/>
                <w:color w:val="000000" w:themeColor="text1"/>
                <w:szCs w:val="24"/>
                <w:highlight w:val="none"/>
              </w:rPr>
            </w:pPr>
            <w:r>
              <w:rPr>
                <w:rFonts w:hint="eastAsia"/>
                <w:b/>
                <w:bCs/>
                <w:sz w:val="20"/>
                <w:highlight w:val="none"/>
              </w:rPr>
              <w:t>产值：</w:t>
            </w:r>
            <w:r>
              <w:rPr>
                <w:rFonts w:hint="eastAsia" w:ascii="宋体" w:hAnsi="宋体" w:cs="宋体"/>
                <w:color w:val="auto"/>
                <w:sz w:val="21"/>
                <w:szCs w:val="21"/>
                <w:highlight w:val="none"/>
                <w:lang w:val="en-US" w:eastAsia="zh-CN"/>
              </w:rPr>
              <w:t>11000万元</w:t>
            </w:r>
          </w:p>
        </w:tc>
        <w:tc>
          <w:tcPr>
            <w:tcW w:w="348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085" w:type="dxa"/>
          </w:tcPr>
          <w:p>
            <w:pPr>
              <w:pStyle w:val="3"/>
              <w:spacing w:line="320" w:lineRule="exact"/>
              <w:ind w:firstLine="0"/>
              <w:rPr>
                <w:rFonts w:ascii="宋体" w:hAnsi="宋体"/>
                <w:b/>
                <w:color w:val="000000" w:themeColor="text1"/>
                <w:szCs w:val="24"/>
                <w:highlight w:val="none"/>
              </w:rPr>
            </w:pPr>
            <w:r>
              <w:rPr>
                <w:rFonts w:hint="eastAsia"/>
                <w:b/>
                <w:bCs/>
                <w:sz w:val="20"/>
                <w:szCs w:val="22"/>
                <w:highlight w:val="none"/>
                <w:lang w:val="zh-CN"/>
              </w:rPr>
              <w:t>综合能耗：</w:t>
            </w:r>
            <w:r>
              <w:rPr>
                <w:rFonts w:hint="eastAsia" w:ascii="宋体" w:hAnsi="宋体" w:cs="宋体"/>
                <w:color w:val="auto"/>
                <w:sz w:val="21"/>
                <w:szCs w:val="21"/>
                <w:highlight w:val="none"/>
                <w:lang w:val="en-US" w:eastAsia="zh-CN"/>
              </w:rPr>
              <w:t>512</w:t>
            </w:r>
            <w:r>
              <w:rPr>
                <w:rFonts w:hint="eastAsia"/>
                <w:b/>
                <w:bCs/>
                <w:sz w:val="20"/>
                <w:szCs w:val="22"/>
                <w:highlight w:val="none"/>
              </w:rPr>
              <w:t>吨标准煤</w:t>
            </w:r>
          </w:p>
        </w:tc>
        <w:tc>
          <w:tcPr>
            <w:tcW w:w="348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085" w:type="dxa"/>
          </w:tcPr>
          <w:p>
            <w:pPr>
              <w:rPr>
                <w:b/>
                <w:bCs/>
                <w:sz w:val="20"/>
                <w:szCs w:val="22"/>
                <w:highlight w:val="none"/>
              </w:rPr>
            </w:pPr>
            <w:r>
              <w:rPr>
                <w:rFonts w:hint="eastAsia"/>
                <w:b/>
                <w:bCs/>
                <w:sz w:val="20"/>
                <w:szCs w:val="22"/>
                <w:highlight w:val="none"/>
              </w:rPr>
              <w:t>单位能耗：</w:t>
            </w:r>
            <w:r>
              <w:rPr>
                <w:rFonts w:hint="eastAsia" w:ascii="Times New Roman" w:hAnsi="Times New Roman" w:eastAsia="宋体" w:cs="Times New Roman"/>
                <w:b/>
                <w:bCs/>
                <w:kern w:val="2"/>
                <w:sz w:val="20"/>
                <w:lang w:val="en-US" w:eastAsia="zh-CN" w:bidi="ar-SA"/>
              </w:rPr>
              <w:t>tce/万元</w:t>
            </w:r>
          </w:p>
          <w:p>
            <w:pPr>
              <w:rPr>
                <w:rFonts w:ascii="宋体" w:hAnsi="宋体"/>
                <w:b/>
                <w:color w:val="000000" w:themeColor="text1"/>
                <w:szCs w:val="24"/>
                <w:highlight w:val="yellow"/>
              </w:rPr>
            </w:pPr>
            <w:r>
              <w:rPr>
                <w:rFonts w:hint="eastAsia"/>
                <w:b/>
                <w:bCs/>
                <w:sz w:val="20"/>
                <w:szCs w:val="22"/>
                <w:highlight w:val="none"/>
                <w:lang w:val="en-US" w:eastAsia="zh-CN"/>
              </w:rPr>
              <w:t>单位产值综合能耗：</w:t>
            </w:r>
            <w:r>
              <w:rPr>
                <w:rFonts w:hint="eastAsia" w:ascii="宋体" w:hAnsi="宋体" w:cs="宋体"/>
                <w:color w:val="auto"/>
                <w:sz w:val="21"/>
                <w:szCs w:val="21"/>
                <w:highlight w:val="none"/>
                <w:lang w:val="en-US" w:eastAsia="zh-CN"/>
              </w:rPr>
              <w:t>0.047tce/万元</w:t>
            </w:r>
          </w:p>
        </w:tc>
        <w:tc>
          <w:tcPr>
            <w:tcW w:w="348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085" w:type="dxa"/>
          </w:tcPr>
          <w:p>
            <w:pPr>
              <w:rPr>
                <w:sz w:val="20"/>
                <w:szCs w:val="22"/>
              </w:rPr>
            </w:pPr>
            <w:r>
              <w:rPr>
                <w:rFonts w:hint="eastAsia"/>
                <w:b/>
                <w:bCs/>
                <w:sz w:val="20"/>
                <w:szCs w:val="22"/>
              </w:rPr>
              <w:t>节能量（吨标准煤）：</w:t>
            </w:r>
            <w:bookmarkStart w:id="16" w:name="_GoBack"/>
            <w:bookmarkEnd w:id="16"/>
          </w:p>
          <w:p>
            <w:pPr>
              <w:rPr>
                <w:sz w:val="20"/>
                <w:szCs w:val="22"/>
              </w:rPr>
            </w:pPr>
          </w:p>
        </w:tc>
        <w:tc>
          <w:tcPr>
            <w:tcW w:w="348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08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48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08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348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08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348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08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348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085" w:type="dxa"/>
          </w:tcPr>
          <w:p>
            <w:pPr>
              <w:rPr>
                <w:sz w:val="20"/>
                <w:szCs w:val="22"/>
              </w:rPr>
            </w:pPr>
            <w:r>
              <w:rPr>
                <w:rFonts w:hint="eastAsia"/>
                <w:b/>
                <w:bCs/>
                <w:sz w:val="20"/>
                <w:szCs w:val="22"/>
              </w:rPr>
              <w:t>节能量（吨标准煤）：</w:t>
            </w:r>
          </w:p>
          <w:p>
            <w:pPr>
              <w:rPr>
                <w:sz w:val="20"/>
                <w:szCs w:val="22"/>
              </w:rPr>
            </w:pPr>
          </w:p>
        </w:tc>
        <w:tc>
          <w:tcPr>
            <w:tcW w:w="348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dhOGY5MzIwYjM5OWFmZGI4MTBhODVhYjUzMzlkOTUifQ=="/>
  </w:docVars>
  <w:rsids>
    <w:rsidRoot w:val="00000000"/>
    <w:rsid w:val="10502989"/>
    <w:rsid w:val="21893A44"/>
    <w:rsid w:val="284A52FC"/>
    <w:rsid w:val="2BB45ECF"/>
    <w:rsid w:val="34636D1A"/>
    <w:rsid w:val="3F936EB3"/>
    <w:rsid w:val="48C17C28"/>
    <w:rsid w:val="6E680873"/>
    <w:rsid w:val="73133AF6"/>
    <w:rsid w:val="7B4D15C1"/>
    <w:rsid w:val="7E5C51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 w:type="paragraph" w:customStyle="1" w:styleId="19">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1035</Words>
  <Characters>1479</Characters>
  <Lines>18</Lines>
  <Paragraphs>5</Paragraphs>
  <TotalTime>0</TotalTime>
  <ScaleCrop>false</ScaleCrop>
  <LinksUpToDate>false</LinksUpToDate>
  <CharactersWithSpaces>1634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2022-12-16T01:02:05Z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