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苏州海宏水泥制品有限公司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0112-2019-2022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hint="default" w:ascii="宋体" w:hAnsi="宋体" w:eastAsiaTheme="minorEastAsia"/>
          <w:spacing w:val="80"/>
          <w:sz w:val="32"/>
          <w:lang w:val="en-US" w:eastAsia="zh-CN"/>
        </w:rPr>
      </w:pPr>
      <w:r>
        <w:rPr>
          <w:rFonts w:hint="eastAsia" w:ascii="宋体" w:hAnsi="宋体"/>
          <w:spacing w:val="80"/>
          <w:sz w:val="32"/>
          <w:lang w:val="en-US" w:eastAsia="zh-CN"/>
        </w:rPr>
        <w:t xml:space="preserve">              </w:t>
      </w:r>
    </w:p>
    <w:p>
      <w:pPr>
        <w:widowControl/>
        <w:spacing w:line="360" w:lineRule="auto"/>
        <w:ind w:right="360"/>
        <w:rPr>
          <w:rFonts w:hint="eastAsia" w:ascii="Times New Roman" w:hAnsi="Times New Roman" w:eastAsia="宋体" w:cs="Times New Roman"/>
          <w:bCs/>
          <w:kern w:val="0"/>
          <w:sz w:val="18"/>
          <w:szCs w:val="18"/>
          <w:lang w:val="en-US" w:eastAsia="zh-CN"/>
        </w:rPr>
      </w:pPr>
      <w:r>
        <w:rPr>
          <w:rFonts w:hint="eastAsia" w:ascii="Times New Roman" w:hAnsi="Times New Roman" w:eastAsia="宋体" w:cs="Times New Roman"/>
          <w:bCs/>
          <w:kern w:val="0"/>
          <w:sz w:val="18"/>
          <w:szCs w:val="18"/>
          <w:lang w:val="en-US" w:eastAsia="zh-CN"/>
        </w:rPr>
        <w:t xml:space="preserve"> </w:t>
      </w: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0112-2019-2022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苏州海宏水泥制品有限公司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金美娟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ISC-2019-0539</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2024-11-19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2022年12月09日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cs="宋体" w:asciiTheme="minorEastAsia" w:hAnsiTheme="minorEastAsia"/>
                <w:kern w:val="0"/>
                <w:szCs w:val="21"/>
                <w:lang w:val="en-US" w:eastAsia="zh-CN"/>
              </w:rPr>
              <w:t>黄金荣，</w:t>
            </w:r>
            <w:r>
              <w:rPr>
                <w:rFonts w:ascii="宋体" w:hAnsi="宋体"/>
                <w:color w:val="000000"/>
                <w:szCs w:val="21"/>
                <w:shd w:val="clear" w:color="auto" w:fill="auto"/>
              </w:rPr>
              <w:t>2021-M1MMS-2227641</w:t>
            </w:r>
          </w:p>
          <w:p>
            <w:pPr>
              <w:tabs>
                <w:tab w:val="left" w:pos="880"/>
              </w:tabs>
              <w:autoSpaceDE w:val="0"/>
              <w:autoSpaceDN w:val="0"/>
              <w:adjustRightInd w:val="0"/>
              <w:spacing w:before="35" w:line="276" w:lineRule="auto"/>
              <w:ind w:right="161"/>
              <w:rPr>
                <w:rFonts w:hint="eastAsia" w:ascii="宋体" w:hAnsi="宋体"/>
                <w:color w:val="000000"/>
                <w:szCs w:val="21"/>
                <w:lang w:eastAsia="zh-CN"/>
              </w:rPr>
            </w:pPr>
            <w:r>
              <w:rPr>
                <w:rFonts w:hint="eastAsia" w:ascii="宋体" w:hAnsi="宋体"/>
                <w:color w:val="000000"/>
                <w:szCs w:val="21"/>
              </w:rPr>
              <w:t>ISC[S]0062</w:t>
            </w:r>
            <w:r>
              <w:rPr>
                <w:rFonts w:hint="eastAsia" w:ascii="宋体" w:hAnsi="宋体"/>
                <w:color w:val="000000"/>
                <w:szCs w:val="21"/>
                <w:lang w:eastAsia="zh-CN"/>
              </w:rPr>
              <w:t>。</w:t>
            </w:r>
          </w:p>
          <w:p>
            <w:pPr>
              <w:tabs>
                <w:tab w:val="left" w:pos="880"/>
              </w:tabs>
              <w:autoSpaceDE w:val="0"/>
              <w:autoSpaceDN w:val="0"/>
              <w:adjustRightInd w:val="0"/>
              <w:spacing w:before="35" w:line="276" w:lineRule="auto"/>
              <w:ind w:right="161"/>
              <w:rPr>
                <w:rFonts w:ascii="宋体" w:hAnsi="宋体"/>
                <w:color w:val="000000"/>
                <w:szCs w:val="21"/>
                <w:shd w:val="clear" w:color="auto" w:fill="auto"/>
              </w:rPr>
            </w:pPr>
            <w:r>
              <w:rPr>
                <w:rFonts w:hint="eastAsia" w:ascii="宋体" w:hAnsi="宋体"/>
                <w:color w:val="000000"/>
                <w:szCs w:val="21"/>
                <w:lang w:val="en-US" w:eastAsia="zh-CN"/>
              </w:rPr>
              <w:t>袁菊，</w:t>
            </w:r>
            <w:r>
              <w:rPr>
                <w:rFonts w:ascii="宋体" w:hAnsi="宋体"/>
                <w:color w:val="000000"/>
                <w:szCs w:val="21"/>
                <w:shd w:val="clear" w:color="auto" w:fill="auto"/>
              </w:rPr>
              <w:t>2021-M1MMS-2274447</w:t>
            </w:r>
          </w:p>
          <w:p>
            <w:pPr>
              <w:tabs>
                <w:tab w:val="left" w:pos="880"/>
              </w:tabs>
              <w:autoSpaceDE w:val="0"/>
              <w:autoSpaceDN w:val="0"/>
              <w:adjustRightInd w:val="0"/>
              <w:spacing w:before="35" w:line="276" w:lineRule="auto"/>
              <w:ind w:right="161"/>
              <w:rPr>
                <w:rFonts w:hint="eastAsia" w:ascii="宋体" w:hAnsi="宋体" w:eastAsiaTheme="minorEastAsia"/>
                <w:color w:val="000000"/>
                <w:szCs w:val="21"/>
                <w:shd w:val="clear" w:color="auto" w:fill="auto"/>
                <w:lang w:val="en-US" w:eastAsia="zh-CN"/>
              </w:rPr>
            </w:pPr>
            <w:r>
              <w:rPr>
                <w:rFonts w:hint="eastAsia" w:ascii="宋体" w:hAnsi="宋体"/>
                <w:color w:val="000000"/>
                <w:szCs w:val="21"/>
              </w:rPr>
              <w:t>ISC[S]0258</w:t>
            </w:r>
            <w:r>
              <w:rPr>
                <w:rFonts w:hint="eastAsia" w:ascii="宋体" w:hAnsi="宋体"/>
                <w:color w:val="000000"/>
                <w:szCs w:val="21"/>
                <w:lang w:eastAsia="zh-CN"/>
              </w:rPr>
              <w:t>。</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cs="宋体"/>
                <w:color w:val="FF0000"/>
                <w:kern w:val="0"/>
                <w:szCs w:val="21"/>
                <w:highlight w:val="none"/>
                <w:lang w:val="en-US" w:eastAsia="zh-CN"/>
              </w:rPr>
            </w:pPr>
            <w:r>
              <w:rPr>
                <w:rFonts w:hint="eastAsia" w:ascii="宋体" w:hAnsi="宋体"/>
                <w:color w:val="auto"/>
                <w:szCs w:val="21"/>
                <w:highlight w:val="none"/>
                <w:lang w:val="en-US" w:eastAsia="zh-CN"/>
              </w:rPr>
              <w:t>管理层/</w:t>
            </w:r>
            <w:r>
              <w:rPr>
                <w:rFonts w:hint="eastAsia" w:ascii="宋体" w:hAnsi="宋体"/>
                <w:color w:val="auto"/>
                <w:szCs w:val="21"/>
                <w:highlight w:val="none"/>
              </w:rPr>
              <w:t>管理者代表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技术部</w:t>
            </w:r>
            <w:r>
              <w:rPr>
                <w:rFonts w:hint="eastAsia" w:ascii="宋体" w:hAnsi="宋体" w:cs="宋体"/>
                <w:kern w:val="0"/>
                <w:szCs w:val="21"/>
                <w:highlight w:val="none"/>
                <w:lang w:val="en-US"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Cs w:val="21"/>
                <w:highlight w:val="none"/>
                <w:lang w:val="en-US" w:eastAsia="zh-CN"/>
              </w:rPr>
              <w:t>采购部、销售部、生产部（车间）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2.1公司于2022年9月10日至11日组织了公司测量管理体系内审，内审分2个组，对公司5个部门和车间进行了审核，共开出了1个不符合项，到目前为止不符合项已全部完成整改。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10月5日开展了测量管理体系管理评审，会议由公司总经理秦全荣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混凝土抗压强度试验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a)计量要求的导出和验证：查混凝土抗压强度试验过程，计量要求导出方法正确，验证满足测量过程要求。祥见附件《计量要求导出及验证记录表》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b)测量不确定评定：查混凝土抗压强度试验过程，测量不确定度评定方法正确。祥见附件《测量不确定度评定》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c)有效性确认：查混凝土抗压强度试验过程有效性确认，满足要求。祥见附件《测量过程有效性确认》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d)测量过程的控制：查混凝土抗压强度试验过程，编制了控制规范，对测量人员、测量设备、测量环境进行控制，满足要求。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e)测量过程的监视：查混凝土抗压强度试验过程，采用统计技术进行控制和监视测量过程。祥见《测量过程监视记录》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f)公司未建最高计量标准，企业测量设备由技术部负责组织委外检定/校准。公司测量设备委托苏州市吴江区检验检测中心等机构检定/校准，抽查8台测量设备检定/校准证书，溯源满足要求。祥见《测量设备溯源检查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4.能源管理情况：企业能源主要消耗品种为电能、水、蒸汽，2022年1月至10月累计消耗电量7640223kWh，水53413t，蒸汽25973.42t，折合标准煤4283.7 tce， 不是重点耗能企业。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5项质量目标，目标可测量，质量目标已分解，每季度检查统计。查:《2022年公司计量工作质量目标完成统计表》2022年1至3季度年度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企业营业执照已发生变更，2022年06月23取得新营业执照。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12月9日，对苏州海宏水泥制品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苏州海宏水泥制品有限公司测量管理体系，符合GB/T 19022-2003标准要求，对体系运行具有持续的有效性、符合性予以肯定。建议报请国标联合认证有限公司批准通过监督审核。</w:t>
      </w: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p>
    <w:p>
      <w:pPr>
        <w:widowControl/>
        <w:spacing w:line="360" w:lineRule="auto"/>
        <w:rPr>
          <w:rFonts w:ascii="宋体" w:hAnsi="宋体" w:eastAsia="宋体" w:cs="宋体"/>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66432" behindDoc="0" locked="0" layoutInCell="1" allowOverlap="1">
            <wp:simplePos x="0" y="0"/>
            <wp:positionH relativeFrom="column">
              <wp:posOffset>1443355</wp:posOffset>
            </wp:positionH>
            <wp:positionV relativeFrom="paragraph">
              <wp:posOffset>-35560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2022年12月9日</w:t>
      </w:r>
    </w:p>
    <w:p>
      <w:pPr>
        <w:widowControl/>
        <w:spacing w:line="360" w:lineRule="auto"/>
        <w:jc w:val="left"/>
        <w:rPr>
          <w:rFonts w:ascii="宋体" w:hAnsi="宋体" w:eastAsia="宋体" w:cs="宋体"/>
          <w:color w:val="000000"/>
          <w:kern w:val="0"/>
          <w:szCs w:val="21"/>
        </w:rPr>
      </w:pPr>
    </w:p>
    <w:p>
      <w:pPr>
        <w:widowControl/>
        <w:spacing w:line="360" w:lineRule="auto"/>
        <w:jc w:val="left"/>
        <w:rPr>
          <w:rFonts w:hint="eastAsia" w:ascii="宋体" w:hAnsi="宋体" w:eastAsia="宋体" w:cs="宋体"/>
          <w:color w:val="000000"/>
          <w:kern w:val="0"/>
          <w:szCs w:val="21"/>
          <w:lang w:val="en-US" w:eastAsia="zh-CN"/>
        </w:rPr>
      </w:pPr>
      <w:r>
        <w:drawing>
          <wp:anchor distT="0" distB="0" distL="0" distR="0" simplePos="0" relativeHeight="251667456" behindDoc="0" locked="0" layoutInCell="1" allowOverlap="1">
            <wp:simplePos x="0" y="0"/>
            <wp:positionH relativeFrom="column">
              <wp:posOffset>1494155</wp:posOffset>
            </wp:positionH>
            <wp:positionV relativeFrom="paragraph">
              <wp:posOffset>50165</wp:posOffset>
            </wp:positionV>
            <wp:extent cx="485775" cy="219075"/>
            <wp:effectExtent l="0" t="0" r="0" b="0"/>
            <wp:wrapNone/>
            <wp:docPr id="3" name="图片 1" descr="C:\Users\mac\Desktop\袁菊\ISC文件\袁菊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mac\Desktop\袁菊\ISC文件\袁菊电子签名.png"/>
                    <pic:cNvPicPr>
                      <a:picLocks noChangeAspect="1" noChangeArrowheads="1"/>
                    </pic:cNvPicPr>
                  </pic:nvPicPr>
                  <pic:blipFill>
                    <a:blip r:embed="rId7"/>
                    <a:srcRect/>
                    <a:stretch>
                      <a:fillRect/>
                    </a:stretch>
                  </pic:blipFill>
                  <pic:spPr>
                    <a:xfrm>
                      <a:off x="0" y="0"/>
                      <a:ext cx="485775" cy="219075"/>
                    </a:xfrm>
                    <a:prstGeom prst="rect">
                      <a:avLst/>
                    </a:prstGeom>
                    <a:noFill/>
                    <a:ln w="9525">
                      <a:noFill/>
                      <a:miter lim="800000"/>
                      <a:headEnd/>
                      <a:tailEnd/>
                    </a:ln>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2022年12月9日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CE07A9"/>
    <w:rsid w:val="0BAF256D"/>
    <w:rsid w:val="0E3D730E"/>
    <w:rsid w:val="12CE379D"/>
    <w:rsid w:val="1C290DCC"/>
    <w:rsid w:val="206B03BD"/>
    <w:rsid w:val="2F8F3F7D"/>
    <w:rsid w:val="35A537AC"/>
    <w:rsid w:val="574D1AB4"/>
    <w:rsid w:val="5870252E"/>
    <w:rsid w:val="59C00BC4"/>
    <w:rsid w:val="5A597C7F"/>
    <w:rsid w:val="6169056D"/>
    <w:rsid w:val="6E9E7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4</TotalTime>
  <ScaleCrop>false</ScaleCrop>
  <LinksUpToDate>false</LinksUpToDate>
  <CharactersWithSpaces>2165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2022-12-09T06:15:18Z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