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1305-2022-EnMs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四川欧宝路管业有限责任公司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2022年12月10日 上午至2022年12月10日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GB/T 50430-2017</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114-2014</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四川欧宝路管业有限责任公司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四川省德阳市广汉市新丰镇古城村9社</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600000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5" w:name="办公地址"/>
            <w:bookmarkStart w:id="26" w:name="生产地址"/>
            <w:r>
              <w:rPr>
                <w:rFonts w:ascii="宋体"/>
                <w:b/>
                <w:color w:val="000000"/>
                <w:szCs w:val="21"/>
              </w:rPr>
              <w:t>四川省德阳市广汉市新丰镇古城村9社</w:t>
            </w:r>
            <w:bookmarkEnd w:id="25"/>
            <w:bookmarkEnd w:id="26"/>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600000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李香莹</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13880242631</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黄秋月</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李香莹</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PVC、PE、PPR管材、管件</w:t>
            </w:r>
            <w:bookmarkStart w:id="35" w:name="_GoBack"/>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3118485" cy="3155950"/>
                  <wp:effectExtent l="0" t="0" r="5715"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3118485" cy="31559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3" w:name="审核范围"/>
            <w:r>
              <w:t>给水用聚丙稀（PP-R）、聚乙稀（PE）管材的生产；排水、电力用聚氯乙烯（PVC）管材、管件的生产所涉及的能源管理活动</w:t>
            </w:r>
            <w:bookmarkEnd w:id="33"/>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36"/>
        <w:gridCol w:w="1270"/>
        <w:gridCol w:w="1130"/>
        <w:gridCol w:w="2600"/>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3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7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13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60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4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36" w:type="dxa"/>
          </w:tcPr>
          <w:p>
            <w:pPr>
              <w:spacing w:before="40" w:after="40"/>
              <w:rPr>
                <w:rFonts w:hint="eastAsia" w:eastAsia="宋体"/>
                <w:szCs w:val="21"/>
                <w:lang w:val="en-US" w:eastAsia="zh-CN"/>
              </w:rPr>
            </w:pPr>
            <w:r>
              <w:rPr>
                <w:sz w:val="21"/>
                <w:szCs w:val="21"/>
              </w:rPr>
              <w:t>四川欧宝路管业有限责任公司</w:t>
            </w:r>
            <w:r>
              <w:rPr>
                <w:rFonts w:hint="eastAsia"/>
                <w:sz w:val="21"/>
                <w:szCs w:val="21"/>
                <w:lang w:val="en-US" w:eastAsia="zh-CN"/>
              </w:rPr>
              <w:t>/</w:t>
            </w:r>
            <w:r>
              <w:rPr>
                <w:rFonts w:asciiTheme="minorEastAsia" w:hAnsiTheme="minorEastAsia" w:eastAsiaTheme="minorEastAsia"/>
                <w:sz w:val="20"/>
              </w:rPr>
              <w:t>四川省德阳市广汉市新丰镇古城村9社</w:t>
            </w:r>
          </w:p>
        </w:tc>
        <w:tc>
          <w:tcPr>
            <w:tcW w:w="1270" w:type="dxa"/>
          </w:tcPr>
          <w:p>
            <w:pPr>
              <w:spacing w:before="40" w:after="40"/>
              <w:rPr>
                <w:rFonts w:eastAsia="黑体"/>
                <w:szCs w:val="21"/>
                <w:lang w:val="de-DE" w:eastAsia="ja-JP"/>
              </w:rPr>
            </w:pPr>
            <w:r>
              <w:rPr>
                <w:rFonts w:asciiTheme="minorEastAsia" w:hAnsiTheme="minorEastAsia" w:eastAsiaTheme="minorEastAsia"/>
                <w:sz w:val="20"/>
              </w:rPr>
              <w:t>四川省德阳市广汉市新丰镇古城村9社</w:t>
            </w:r>
          </w:p>
        </w:tc>
        <w:tc>
          <w:tcPr>
            <w:tcW w:w="1130" w:type="dxa"/>
            <w:vAlign w:val="center"/>
          </w:tcPr>
          <w:p>
            <w:pPr>
              <w:spacing w:before="40" w:after="40"/>
              <w:rPr>
                <w:rFonts w:hint="default" w:eastAsia="黑体"/>
                <w:szCs w:val="21"/>
                <w:lang w:val="en-US" w:eastAsia="zh-CN"/>
              </w:rPr>
            </w:pPr>
            <w:r>
              <w:rPr>
                <w:rFonts w:hint="eastAsia" w:ascii="Times New Roman" w:hAnsi="Times New Roman" w:eastAsia="Times New Roman" w:cs="Times New Roman"/>
                <w:kern w:val="2"/>
                <w:sz w:val="20"/>
                <w:szCs w:val="20"/>
                <w:highlight w:val="none"/>
                <w:lang w:val="en-US" w:eastAsia="zh-CN" w:bidi="ar-SA"/>
              </w:rPr>
              <w:t>总人数104人（能源46人）</w:t>
            </w:r>
          </w:p>
        </w:tc>
        <w:tc>
          <w:tcPr>
            <w:tcW w:w="2600" w:type="dxa"/>
            <w:vAlign w:val="center"/>
          </w:tcPr>
          <w:p>
            <w:pPr>
              <w:pStyle w:val="21"/>
              <w:rPr>
                <w:rFonts w:eastAsia="黑体" w:cs="Arial"/>
                <w:sz w:val="21"/>
                <w:szCs w:val="21"/>
                <w:lang w:val="en-US" w:eastAsia="ja-JP"/>
              </w:rPr>
            </w:pPr>
            <w:r>
              <w:rPr>
                <w:sz w:val="20"/>
                <w:highlight w:val="none"/>
              </w:rPr>
              <w:t>给水用聚丙稀（PP-R）、聚乙稀（PE）管材的生产；排水、电力用聚氯乙烯（PVC）管材、管件的生产所涉及的能源管理活动</w:t>
            </w:r>
          </w:p>
        </w:tc>
        <w:tc>
          <w:tcPr>
            <w:tcW w:w="1741"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eastAsia="黑体"/>
                <w:szCs w:val="21"/>
                <w:lang w:val="en-US" w:eastAsia="zh-CN"/>
              </w:rPr>
              <w:t>RB/T114-2014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36" w:type="dxa"/>
            <w:vAlign w:val="center"/>
          </w:tcPr>
          <w:p>
            <w:pPr>
              <w:spacing w:before="40" w:after="40"/>
              <w:rPr>
                <w:rFonts w:eastAsia="黑体"/>
                <w:szCs w:val="21"/>
                <w:lang w:eastAsia="ja-JP"/>
              </w:rPr>
            </w:pPr>
          </w:p>
        </w:tc>
        <w:tc>
          <w:tcPr>
            <w:tcW w:w="1270" w:type="dxa"/>
            <w:vAlign w:val="center"/>
          </w:tcPr>
          <w:p>
            <w:pPr>
              <w:spacing w:before="40" w:after="40"/>
              <w:rPr>
                <w:rFonts w:eastAsia="黑体"/>
                <w:szCs w:val="21"/>
                <w:lang w:eastAsia="ja-JP"/>
              </w:rPr>
            </w:pPr>
          </w:p>
        </w:tc>
        <w:tc>
          <w:tcPr>
            <w:tcW w:w="11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36" w:type="dxa"/>
            <w:vAlign w:val="center"/>
          </w:tcPr>
          <w:p>
            <w:pPr>
              <w:spacing w:before="40" w:after="40"/>
              <w:rPr>
                <w:rFonts w:eastAsia="黑体"/>
                <w:szCs w:val="21"/>
                <w:lang w:eastAsia="ja-JP"/>
              </w:rPr>
            </w:pPr>
          </w:p>
        </w:tc>
        <w:tc>
          <w:tcPr>
            <w:tcW w:w="1270" w:type="dxa"/>
            <w:vAlign w:val="center"/>
          </w:tcPr>
          <w:p>
            <w:pPr>
              <w:spacing w:before="40" w:after="40"/>
              <w:rPr>
                <w:rFonts w:eastAsia="黑体"/>
                <w:szCs w:val="21"/>
                <w:lang w:eastAsia="ja-JP"/>
              </w:rPr>
            </w:pPr>
          </w:p>
        </w:tc>
        <w:tc>
          <w:tcPr>
            <w:tcW w:w="11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36" w:type="dxa"/>
            <w:vAlign w:val="center"/>
          </w:tcPr>
          <w:p>
            <w:pPr>
              <w:spacing w:before="40" w:after="40"/>
              <w:rPr>
                <w:rFonts w:eastAsia="黑体"/>
                <w:szCs w:val="21"/>
                <w:lang w:eastAsia="ja-JP"/>
              </w:rPr>
            </w:pPr>
          </w:p>
        </w:tc>
        <w:tc>
          <w:tcPr>
            <w:tcW w:w="1270" w:type="dxa"/>
            <w:vAlign w:val="center"/>
          </w:tcPr>
          <w:p>
            <w:pPr>
              <w:spacing w:before="40" w:after="40"/>
              <w:rPr>
                <w:rFonts w:eastAsia="黑体"/>
                <w:szCs w:val="21"/>
                <w:lang w:eastAsia="ja-JP"/>
              </w:rPr>
            </w:pPr>
          </w:p>
        </w:tc>
        <w:tc>
          <w:tcPr>
            <w:tcW w:w="11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36" w:type="dxa"/>
            <w:vAlign w:val="center"/>
          </w:tcPr>
          <w:p>
            <w:pPr>
              <w:spacing w:before="40" w:after="40"/>
              <w:rPr>
                <w:rFonts w:eastAsia="黑体"/>
                <w:szCs w:val="21"/>
                <w:lang w:eastAsia="ja-JP"/>
              </w:rPr>
            </w:pPr>
          </w:p>
        </w:tc>
        <w:tc>
          <w:tcPr>
            <w:tcW w:w="1270" w:type="dxa"/>
            <w:vAlign w:val="center"/>
          </w:tcPr>
          <w:p>
            <w:pPr>
              <w:spacing w:before="40" w:after="40"/>
              <w:rPr>
                <w:rFonts w:eastAsia="黑体"/>
                <w:szCs w:val="21"/>
                <w:lang w:eastAsia="ja-JP"/>
              </w:rPr>
            </w:pPr>
          </w:p>
        </w:tc>
        <w:tc>
          <w:tcPr>
            <w:tcW w:w="1130" w:type="dxa"/>
            <w:vAlign w:val="center"/>
          </w:tcPr>
          <w:p>
            <w:pPr>
              <w:spacing w:before="40" w:after="40"/>
              <w:rPr>
                <w:rFonts w:eastAsia="黑体"/>
                <w:szCs w:val="21"/>
                <w:lang w:eastAsia="ja-JP"/>
              </w:rPr>
            </w:pPr>
          </w:p>
        </w:tc>
        <w:tc>
          <w:tcPr>
            <w:tcW w:w="260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9</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3</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年9月10</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有限额要求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A3"/>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2022-12-</w:t>
            </w:r>
            <w:bookmarkEnd w:id="34"/>
            <w:r>
              <w:rPr>
                <w:rFonts w:hint="eastAsia" w:ascii="宋体"/>
                <w:b/>
                <w:color w:val="000000"/>
                <w:szCs w:val="21"/>
                <w:lang w:val="en-US" w:eastAsia="zh-CN"/>
              </w:rPr>
              <w:t>11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51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1"/>
        <w:gridCol w:w="87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widowControl/>
              <w:jc w:val="left"/>
              <w:rPr>
                <w:rFonts w:ascii="宋体"/>
                <w:b/>
                <w:color w:val="000000"/>
                <w:szCs w:val="21"/>
              </w:rPr>
            </w:pPr>
            <w:r>
              <w:rPr>
                <w:rFonts w:hint="eastAsia" w:ascii="宋体" w:hAnsi="宋体"/>
                <w:b/>
                <w:color w:val="000000"/>
                <w:szCs w:val="21"/>
              </w:rPr>
              <w:t>评价项目</w:t>
            </w:r>
          </w:p>
        </w:tc>
        <w:tc>
          <w:tcPr>
            <w:tcW w:w="870" w:type="dxa"/>
          </w:tcPr>
          <w:p>
            <w:pPr>
              <w:widowControl/>
              <w:jc w:val="left"/>
              <w:rPr>
                <w:rFonts w:ascii="宋体"/>
                <w:b/>
                <w:color w:val="000000"/>
                <w:szCs w:val="21"/>
              </w:rPr>
            </w:pPr>
          </w:p>
        </w:tc>
        <w:tc>
          <w:tcPr>
            <w:tcW w:w="8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highlight w:val="none"/>
                <w:lang w:val="de-DE"/>
              </w:rPr>
              <w:sym w:font="Wingdings 2" w:char="00A3"/>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highlight w:val="none"/>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78720" behindDoc="0" locked="0" layoutInCell="1" allowOverlap="1">
            <wp:simplePos x="0" y="0"/>
            <wp:positionH relativeFrom="column">
              <wp:posOffset>1737995</wp:posOffset>
            </wp:positionH>
            <wp:positionV relativeFrom="paragraph">
              <wp:posOffset>347980</wp:posOffset>
            </wp:positionV>
            <wp:extent cx="673100" cy="274955"/>
            <wp:effectExtent l="0" t="0" r="0" b="3810"/>
            <wp:wrapSquare wrapText="bothSides"/>
            <wp:docPr id="14"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3867150" cy="4583430"/>
            <wp:effectExtent l="0" t="0" r="635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867150" cy="458343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四川欧宝路管业有限责任公司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法律法规清单：1）未更新、节约能源法、节能量计算方法标准；2）未识别RB/T 114-2014能源管理体系　纯碱、焦化、橡塑制品、制药等化工企业认证要求和GBT 36713-2018能源管理体系 能源基准及能源绩效参数；以及当地政府的能源管理政策；</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提供的内审资料不全，需补充完善内审检查表等</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9.2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9504" behindDoc="0" locked="0" layoutInCell="1" allowOverlap="1">
                  <wp:simplePos x="0" y="0"/>
                  <wp:positionH relativeFrom="column">
                    <wp:posOffset>1014730</wp:posOffset>
                  </wp:positionH>
                  <wp:positionV relativeFrom="paragraph">
                    <wp:posOffset>82550</wp:posOffset>
                  </wp:positionV>
                  <wp:extent cx="673100" cy="274955"/>
                  <wp:effectExtent l="0" t="0" r="0" b="3810"/>
                  <wp:wrapSquare wrapText="bothSides"/>
                  <wp:docPr id="5"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ascii="宋体" w:hAnsi="宋体"/>
                <w:b/>
                <w:bCs/>
                <w:color w:val="000000"/>
                <w:spacing w:val="-8"/>
                <w:szCs w:val="21"/>
              </w:rPr>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drawing>
                <wp:anchor distT="0" distB="0" distL="114300" distR="114300" simplePos="0" relativeHeight="251677696" behindDoc="0" locked="0" layoutInCell="1" allowOverlap="1">
                  <wp:simplePos x="0" y="0"/>
                  <wp:positionH relativeFrom="column">
                    <wp:posOffset>595630</wp:posOffset>
                  </wp:positionH>
                  <wp:positionV relativeFrom="paragraph">
                    <wp:posOffset>88900</wp:posOffset>
                  </wp:positionV>
                  <wp:extent cx="673100" cy="274955"/>
                  <wp:effectExtent l="0" t="0" r="0" b="3810"/>
                  <wp:wrapSquare wrapText="bothSides"/>
                  <wp:docPr id="8"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4C4D43B8"/>
    <w:multiLevelType w:val="singleLevel"/>
    <w:tmpl w:val="4C4D43B8"/>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6E62D16"/>
    <w:rsid w:val="08DF710B"/>
    <w:rsid w:val="0AE457CF"/>
    <w:rsid w:val="1D7C2998"/>
    <w:rsid w:val="222478FE"/>
    <w:rsid w:val="2D1B7B45"/>
    <w:rsid w:val="3D614724"/>
    <w:rsid w:val="4A525B6B"/>
    <w:rsid w:val="59345856"/>
    <w:rsid w:val="5B571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2022-12-12T10:50:45Z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