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1317-2022-QEO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成都欣弘广环保设备有限公司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成都欣弘广环保设备有限公司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成都市武侯区武侯大道双楠段56号1栋7层704号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成都市郫都区创智东一路银座A座1204-05</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李海欣</w:t>
            </w:r>
            <w:bookmarkEnd w:id="10"/>
          </w:p>
        </w:tc>
        <w:tc>
          <w:tcPr>
            <w:tcW w:w="1313" w:type="dxa"/>
            <w:vAlign w:val="center"/>
          </w:tcPr>
          <w:p>
            <w:r>
              <w:rPr>
                <w:rFonts w:hint="eastAsia"/>
              </w:rPr>
              <w:t>电话.</w:t>
            </w:r>
          </w:p>
        </w:tc>
        <w:tc>
          <w:tcPr>
            <w:tcW w:w="2180" w:type="dxa"/>
            <w:vAlign w:val="center"/>
          </w:tcPr>
          <w:p>
            <w:bookmarkStart w:id="11" w:name="联系人电话"/>
            <w:r>
              <w:t>18048503589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王安凤</w:t>
            </w:r>
            <w:bookmarkEnd w:id="13"/>
          </w:p>
        </w:tc>
        <w:tc>
          <w:tcPr>
            <w:tcW w:w="1313" w:type="dxa"/>
            <w:vAlign w:val="center"/>
          </w:tcPr>
          <w:p>
            <w:r>
              <w:rPr>
                <w:rFonts w:hint="eastAsia"/>
              </w:rPr>
              <w:t>管理者代表</w:t>
            </w:r>
          </w:p>
        </w:tc>
        <w:tc>
          <w:tcPr>
            <w:tcW w:w="2180" w:type="dxa"/>
          </w:tcPr>
          <w:p>
            <w:bookmarkStart w:id="14" w:name="管理者代表"/>
            <w:r>
              <w:t>李海欣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Arial" w:hAnsi="Arial" w:cs="Arial"/>
                <w:color w:val="000000"/>
                <w:lang w:val="en-US" w:eastAsia="zh-CN"/>
              </w:rPr>
            </w:pPr>
            <w:r>
              <w:rPr>
                <w:rFonts w:hint="eastAsia"/>
                <w:color w:val="000000"/>
                <w:lang w:val="en-US" w:eastAsia="zh-CN"/>
              </w:rPr>
              <w:t>销售流程：业务洽谈</w:t>
            </w:r>
            <w:r>
              <w:rPr>
                <w:rFonts w:hint="default" w:ascii="Arial" w:hAnsi="Arial" w:cs="Arial"/>
                <w:color w:val="000000"/>
                <w:lang w:val="en-US" w:eastAsia="zh-CN"/>
              </w:rPr>
              <w:t>→</w:t>
            </w:r>
            <w:r>
              <w:rPr>
                <w:rFonts w:hint="eastAsia"/>
                <w:color w:val="000000"/>
                <w:lang w:val="en-US" w:eastAsia="zh-CN"/>
              </w:rPr>
              <w:t>合同签订</w:t>
            </w:r>
            <w:r>
              <w:rPr>
                <w:rFonts w:hint="default" w:ascii="Arial" w:hAnsi="Arial" w:cs="Arial"/>
                <w:color w:val="000000"/>
                <w:lang w:val="en-US" w:eastAsia="zh-CN"/>
              </w:rPr>
              <w:t>→</w:t>
            </w:r>
            <w:r>
              <w:rPr>
                <w:rFonts w:hint="eastAsia" w:ascii="Arial" w:hAnsi="Arial" w:cs="Arial"/>
                <w:color w:val="000000"/>
                <w:lang w:val="en-US" w:eastAsia="zh-CN"/>
              </w:rPr>
              <w:t>发货</w:t>
            </w:r>
            <w:r>
              <w:rPr>
                <w:rFonts w:hint="default" w:ascii="Arial" w:hAnsi="Arial" w:cs="Arial"/>
                <w:color w:val="000000"/>
                <w:lang w:val="en-US" w:eastAsia="zh-CN"/>
              </w:rPr>
              <w:t>→</w:t>
            </w:r>
            <w:r>
              <w:rPr>
                <w:rFonts w:hint="eastAsia" w:ascii="Arial" w:hAnsi="Arial" w:cs="Arial"/>
                <w:color w:val="000000"/>
                <w:lang w:val="en-US" w:eastAsia="zh-CN"/>
              </w:rPr>
              <w:t>客户签收</w:t>
            </w:r>
          </w:p>
          <w:p>
            <w:r>
              <w:rPr>
                <w:sz w:val="20"/>
              </w:rPr>
              <w:t>运行维护</w:t>
            </w:r>
            <w:r>
              <w:rPr>
                <w:rFonts w:hint="eastAsia"/>
                <w:sz w:val="20"/>
                <w:lang w:val="en-US" w:eastAsia="zh-CN"/>
              </w:rPr>
              <w:t>流程：巡检（查看在线监测系统是否正常运行）</w:t>
            </w:r>
            <w:r>
              <w:rPr>
                <w:rFonts w:hint="default" w:ascii="Arial" w:hAnsi="Arial" w:cs="Arial"/>
                <w:color w:val="000000"/>
                <w:lang w:val="en-US" w:eastAsia="zh-CN"/>
              </w:rPr>
              <w:t>→</w:t>
            </w:r>
            <w:r>
              <w:rPr>
                <w:rFonts w:hint="eastAsia" w:ascii="Arial" w:hAnsi="Arial" w:cs="Arial"/>
                <w:color w:val="000000"/>
                <w:lang w:val="en-US" w:eastAsia="zh-CN"/>
              </w:rPr>
              <w:t>系统故障处理（适用时）</w:t>
            </w:r>
            <w:r>
              <w:rPr>
                <w:rFonts w:hint="default" w:ascii="Arial" w:hAnsi="Arial" w:cs="Arial"/>
                <w:color w:val="000000"/>
                <w:lang w:val="en-US" w:eastAsia="zh-CN"/>
              </w:rPr>
              <w:t>→</w:t>
            </w:r>
            <w:r>
              <w:rPr>
                <w:rFonts w:hint="eastAsia" w:ascii="Arial" w:hAnsi="Arial" w:cs="Arial"/>
                <w:color w:val="000000"/>
                <w:lang w:val="en-US" w:eastAsia="zh-CN"/>
              </w:rPr>
              <w:t>客户验收</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2022年12月06日 上午至2022年12月07日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成都市郫都区创智东一路银座A座1204-05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Q：环境监测系统(含设备、仪器仪表、计算机软硬件)的销售、运行维护服务</w:t>
            </w:r>
          </w:p>
          <w:p>
            <w:r>
              <w:t>E：环境监测系统(含设备、仪器仪表、计算机软硬件)的销售、运行维护服务所涉及场所的相关环境管理活动</w:t>
            </w:r>
          </w:p>
          <w:p>
            <w:r>
              <w:t>O：环境监测系统(含设备、仪器仪表、计算机软硬件)的销售、运行维护服务所涉及场所的相关职业健康安全管理活动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成都市武侯区武侯大道双楠段56号1栋7层704号</w:t>
            </w:r>
          </w:p>
        </w:tc>
        <w:tc>
          <w:tcPr>
            <w:tcW w:w="2267" w:type="dxa"/>
          </w:tcPr>
          <w:p>
            <w:pPr>
              <w:rPr>
                <w:rFonts w:hint="eastAsia" w:eastAsiaTheme="minorEastAsia"/>
                <w:lang w:val="en-US" w:eastAsia="zh-CN"/>
              </w:rPr>
            </w:pPr>
            <w:r>
              <w:rPr>
                <w:rFonts w:asciiTheme="minorEastAsia" w:hAnsiTheme="minorEastAsia" w:eastAsiaTheme="minorEastAsia"/>
                <w:sz w:val="20"/>
              </w:rPr>
              <w:t>成都市郫都区创智东一路银座A座1204-05</w:t>
            </w:r>
            <w:r>
              <w:rPr>
                <w:rFonts w:hint="eastAsia" w:asciiTheme="minorEastAsia" w:hAnsiTheme="minorEastAsia" w:eastAsiaTheme="minorEastAsia"/>
                <w:sz w:val="20"/>
                <w:lang w:val="en-US" w:eastAsia="zh-CN"/>
              </w:rPr>
              <w:t>（临时场所：</w:t>
            </w:r>
            <w:r>
              <w:rPr>
                <w:rFonts w:hint="eastAsia"/>
                <w:color w:val="000000"/>
              </w:rPr>
              <w:t>大邑县新场镇川王村18组大邑县垃圾填埋场</w:t>
            </w:r>
            <w:r>
              <w:rPr>
                <w:rFonts w:hint="eastAsia" w:asciiTheme="minorEastAsia" w:hAnsiTheme="minorEastAsia" w:eastAsiaTheme="minorEastAsia"/>
                <w:sz w:val="20"/>
                <w:lang w:val="en-US" w:eastAsia="zh-CN"/>
              </w:rPr>
              <w:t>）</w:t>
            </w:r>
          </w:p>
        </w:tc>
        <w:tc>
          <w:tcPr>
            <w:tcW w:w="571" w:type="dxa"/>
            <w:vAlign w:val="center"/>
          </w:tcPr>
          <w:p>
            <w:pPr>
              <w:rPr>
                <w:rFonts w:hint="default" w:eastAsia="宋体"/>
                <w:lang w:val="en-US" w:eastAsia="zh-CN"/>
              </w:rPr>
            </w:pPr>
            <w:r>
              <w:rPr>
                <w:rFonts w:hint="eastAsia"/>
                <w:lang w:val="en-US" w:eastAsia="zh-CN"/>
              </w:rPr>
              <w:t>13</w:t>
            </w:r>
          </w:p>
        </w:tc>
        <w:tc>
          <w:tcPr>
            <w:tcW w:w="2803" w:type="dxa"/>
            <w:vAlign w:val="center"/>
          </w:tcPr>
          <w:p>
            <w:pPr>
              <w:rPr>
                <w:lang w:eastAsia="ja-JP"/>
              </w:rPr>
            </w:pPr>
            <w:r>
              <w:rPr>
                <w:sz w:val="20"/>
              </w:rPr>
              <w:t>Q：环境监测系统(含设备、仪器仪表、计算机软硬件)的销售、运行维护服务</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成都市武侯区武侯大道双楠段56号1栋7层704号</w:t>
            </w:r>
          </w:p>
        </w:tc>
        <w:tc>
          <w:tcPr>
            <w:tcW w:w="2267" w:type="dxa"/>
            <w:vAlign w:val="center"/>
          </w:tcPr>
          <w:p>
            <w:pPr>
              <w:rPr>
                <w:lang w:eastAsia="ja-JP"/>
              </w:rPr>
            </w:pPr>
            <w:r>
              <w:rPr>
                <w:rFonts w:asciiTheme="minorEastAsia" w:hAnsiTheme="minorEastAsia" w:eastAsiaTheme="minorEastAsia"/>
                <w:sz w:val="20"/>
              </w:rPr>
              <w:t>成都市郫都区创智东一路银座A座1204-05</w:t>
            </w:r>
            <w:r>
              <w:rPr>
                <w:rFonts w:hint="eastAsia" w:asciiTheme="minorEastAsia" w:hAnsiTheme="minorEastAsia" w:eastAsiaTheme="minorEastAsia"/>
                <w:sz w:val="20"/>
                <w:lang w:val="en-US" w:eastAsia="zh-CN"/>
              </w:rPr>
              <w:t>（临时场所：</w:t>
            </w:r>
            <w:r>
              <w:rPr>
                <w:rFonts w:hint="eastAsia"/>
                <w:color w:val="000000"/>
              </w:rPr>
              <w:t>大邑县新场镇川王村18组大邑县垃圾填埋场</w:t>
            </w:r>
            <w:r>
              <w:rPr>
                <w:rFonts w:hint="eastAsia" w:asciiTheme="minorEastAsia" w:hAnsiTheme="minorEastAsia" w:eastAsiaTheme="minorEastAsia"/>
                <w:sz w:val="20"/>
                <w:lang w:val="en-US" w:eastAsia="zh-CN"/>
              </w:rPr>
              <w:t>）</w:t>
            </w:r>
          </w:p>
        </w:tc>
        <w:tc>
          <w:tcPr>
            <w:tcW w:w="571" w:type="dxa"/>
            <w:vAlign w:val="center"/>
          </w:tcPr>
          <w:p>
            <w:pPr>
              <w:rPr>
                <w:rFonts w:hint="default" w:eastAsia="宋体"/>
                <w:lang w:val="en-US" w:eastAsia="zh-CN"/>
              </w:rPr>
            </w:pPr>
            <w:r>
              <w:rPr>
                <w:rFonts w:hint="eastAsia"/>
                <w:lang w:val="en-US" w:eastAsia="zh-CN"/>
              </w:rPr>
              <w:t>13</w:t>
            </w:r>
          </w:p>
        </w:tc>
        <w:tc>
          <w:tcPr>
            <w:tcW w:w="2803" w:type="dxa"/>
            <w:vAlign w:val="center"/>
          </w:tcPr>
          <w:p>
            <w:pPr>
              <w:rPr>
                <w:lang w:eastAsia="ja-JP"/>
              </w:rPr>
            </w:pPr>
            <w:r>
              <w:rPr>
                <w:sz w:val="20"/>
              </w:rPr>
              <w:t>E：环境监测系统(含设备、仪器仪表、计算机软硬件)的销售、运行维护服务所涉及场所的相关环境管理活动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成都市武侯区武侯大道双楠段56号1栋7层704号</w:t>
            </w:r>
          </w:p>
        </w:tc>
        <w:tc>
          <w:tcPr>
            <w:tcW w:w="2267" w:type="dxa"/>
            <w:vAlign w:val="center"/>
          </w:tcPr>
          <w:p>
            <w:pPr>
              <w:rPr>
                <w:lang w:eastAsia="ja-JP"/>
              </w:rPr>
            </w:pPr>
            <w:r>
              <w:rPr>
                <w:rFonts w:asciiTheme="minorEastAsia" w:hAnsiTheme="minorEastAsia" w:eastAsiaTheme="minorEastAsia"/>
                <w:sz w:val="20"/>
              </w:rPr>
              <w:t>成都市郫都区创智东一路银座A座1204-05</w:t>
            </w:r>
            <w:r>
              <w:rPr>
                <w:rFonts w:hint="eastAsia" w:asciiTheme="minorEastAsia" w:hAnsiTheme="minorEastAsia" w:eastAsiaTheme="minorEastAsia"/>
                <w:sz w:val="20"/>
                <w:lang w:val="en-US" w:eastAsia="zh-CN"/>
              </w:rPr>
              <w:t>（临时场所：</w:t>
            </w:r>
            <w:r>
              <w:rPr>
                <w:rFonts w:hint="eastAsia"/>
                <w:color w:val="000000"/>
              </w:rPr>
              <w:t>大邑县新场镇川王村18组大邑县垃圾填埋场</w:t>
            </w:r>
            <w:r>
              <w:rPr>
                <w:rFonts w:hint="eastAsia" w:asciiTheme="minorEastAsia" w:hAnsiTheme="minorEastAsia" w:eastAsiaTheme="minorEastAsia"/>
                <w:sz w:val="20"/>
                <w:lang w:val="en-US" w:eastAsia="zh-CN"/>
              </w:rPr>
              <w:t>）</w:t>
            </w:r>
          </w:p>
        </w:tc>
        <w:tc>
          <w:tcPr>
            <w:tcW w:w="571" w:type="dxa"/>
            <w:vAlign w:val="center"/>
          </w:tcPr>
          <w:p>
            <w:pPr>
              <w:rPr>
                <w:rFonts w:hint="default" w:eastAsia="宋体"/>
                <w:lang w:val="en-US" w:eastAsia="zh-CN"/>
              </w:rPr>
            </w:pPr>
            <w:r>
              <w:rPr>
                <w:rFonts w:hint="eastAsia"/>
                <w:lang w:val="en-US" w:eastAsia="zh-CN"/>
              </w:rPr>
              <w:t>13</w:t>
            </w:r>
          </w:p>
        </w:tc>
        <w:tc>
          <w:tcPr>
            <w:tcW w:w="2803" w:type="dxa"/>
            <w:vAlign w:val="center"/>
          </w:tcPr>
          <w:p>
            <w:pPr>
              <w:rPr>
                <w:lang w:eastAsia="ja-JP"/>
              </w:rPr>
            </w:pPr>
            <w:r>
              <w:rPr>
                <w:sz w:val="20"/>
              </w:rPr>
              <w:t>O：环境监测系统(含设备、仪器仪表、计算机软硬件)的销售、运行维护服务所涉及场所的相关职业健康安全管理活动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2022-N1EMS-2247783</w:t>
            </w:r>
          </w:p>
          <w:p>
            <w:r>
              <w:t>2021-N1OHSMS-1247783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4" w:hRule="exact"/>
          <w:jc w:val="center"/>
        </w:trPr>
        <w:tc>
          <w:tcPr>
            <w:tcW w:w="1842" w:type="dxa"/>
          </w:tcPr>
          <w:p>
            <w:pPr>
              <w:rPr>
                <w:rFonts w:hint="eastAsia"/>
              </w:rPr>
            </w:pPr>
          </w:p>
          <w:p>
            <w:r>
              <w:rPr>
                <w:rFonts w:hint="eastAsia"/>
              </w:rPr>
              <w:t>审核组长签字</w:t>
            </w:r>
          </w:p>
        </w:tc>
        <w:tc>
          <w:tcPr>
            <w:tcW w:w="2764" w:type="dxa"/>
            <w:tcMar>
              <w:left w:w="113" w:type="dxa"/>
            </w:tcMar>
          </w:tcPr>
          <w:p/>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144145</wp:posOffset>
                  </wp:positionH>
                  <wp:positionV relativeFrom="paragraph">
                    <wp:posOffset>10160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906780" cy="307975"/>
                          </a:xfrm>
                          <a:prstGeom prst="rect">
                            <a:avLst/>
                          </a:prstGeom>
                        </pic:spPr>
                      </pic:pic>
                    </a:graphicData>
                  </a:graphic>
                </wp:anchor>
              </w:drawing>
            </w:r>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2022年12月7日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新产品设计开发□原材料采购□外部供方控制□生产/服务控制□其他</w:t>
            </w:r>
          </w:p>
          <w:p>
            <w:pPr>
              <w:shd w:val="clear" w:color="auto" w:fill="C7DAF1" w:themeFill="text2" w:themeFillTint="32"/>
              <w:spacing w:before="40" w:after="40"/>
              <w:rPr>
                <w:b/>
                <w:bCs/>
                <w:color w:val="auto"/>
              </w:rPr>
            </w:pPr>
            <w:bookmarkStart w:id="34" w:name="_GoBack"/>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新产品设计开发□原材料订制□生产/服务过程□检验检测□产品运输□设备维修</w:t>
            </w:r>
          </w:p>
          <w:p>
            <w:pPr>
              <w:shd w:val="clear" w:color="auto" w:fill="C7DAF1" w:themeFill="text2" w:themeFillTint="32"/>
              <w:spacing w:before="40" w:after="40"/>
              <w:rPr>
                <w:color w:val="auto"/>
              </w:rPr>
            </w:pPr>
            <w:r>
              <w:rPr>
                <w:rFonts w:hint="eastAsia"/>
                <w:color w:val="auto"/>
                <w:lang w:eastAsia="zh-CN"/>
              </w:rPr>
              <w:t>□</w:t>
            </w:r>
            <w:r>
              <w:rPr>
                <w:rFonts w:hint="eastAsia"/>
                <w:color w:val="auto"/>
              </w:rPr>
              <w:t>人员培训□其他</w:t>
            </w:r>
          </w:p>
          <w:bookmarkEnd w:id="34"/>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w:t>
            </w:r>
            <w:r>
              <w:rPr>
                <w:rFonts w:hint="eastAsia" w:ascii="Times New Roman" w:hAnsi="Times New Roman" w:eastAsia="宋体" w:cs="Times New Roman"/>
              </w:rPr>
              <w:t>系方针：“</w:t>
            </w:r>
            <w:r>
              <w:rPr>
                <w:rFonts w:hint="eastAsia" w:ascii="Times New Roman" w:hAnsi="Times New Roman" w:eastAsia="宋体" w:cs="Times New Roman"/>
                <w:lang w:val="en-US" w:eastAsia="zh-CN"/>
              </w:rPr>
              <w:t>精益服务，顾客满意</w:t>
            </w:r>
            <w:r>
              <w:rPr>
                <w:rFonts w:hint="eastAsia" w:ascii="Times New Roman" w:hAnsi="Times New Roman" w:eastAsia="宋体" w:cs="Times New Roma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宋体" w:hAnsi="宋体" w:cs="新宋体"/>
                <w:sz w:val="21"/>
                <w:szCs w:val="21"/>
                <w:lang w:eastAsia="zh-CN"/>
              </w:rPr>
              <w:t>行政部</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7"/>
              <w:gridCol w:w="3255"/>
              <w:gridCol w:w="108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8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1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系统运行维护</w:t>
                  </w:r>
                  <w:r>
                    <w:rPr>
                      <w:rFonts w:hint="eastAsia" w:ascii="宋体" w:hAnsi="宋体" w:eastAsia="宋体" w:cs="Times New Roman"/>
                    </w:rPr>
                    <w:t>合格率100％</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交付合格数/交付总数*100%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GB" w:eastAsia="zh-CN"/>
                    </w:rPr>
                    <w:t>行政部</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合同按时完成率100%</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按时完成数/合同总数*100%</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行政部</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顾客满意度≥90分</w:t>
                  </w:r>
                </w:p>
              </w:tc>
              <w:tc>
                <w:tcPr>
                  <w:tcW w:w="3255"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满意得分和/总调查数</w:t>
                  </w: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行政部</w:t>
                  </w:r>
                </w:p>
              </w:tc>
              <w:tc>
                <w:tcPr>
                  <w:tcW w:w="1519"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9</w:t>
                  </w:r>
                  <w:r>
                    <w:rPr>
                      <w:rFonts w:hint="eastAsia" w:ascii="宋体" w:hAnsi="宋体" w:eastAsia="宋体" w:cs="Times New Roman"/>
                      <w:lang w:val="en-US" w:eastAsia="zh-CN"/>
                    </w:rPr>
                    <w:t>2</w:t>
                  </w:r>
                  <w:r>
                    <w:rPr>
                      <w:rFonts w:hint="eastAsia" w:ascii="宋体" w:hAnsi="宋体" w:eastAsia="宋体" w:cs="Times New Roma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eastAsia="宋体" w:cs="Times New Roman"/>
                    </w:rPr>
                  </w:pPr>
                </w:p>
              </w:tc>
              <w:tc>
                <w:tcPr>
                  <w:tcW w:w="3255" w:type="dxa"/>
                  <w:shd w:val="clear" w:color="auto" w:fill="auto"/>
                  <w:vAlign w:val="center"/>
                </w:tcPr>
                <w:p>
                  <w:pPr>
                    <w:shd w:val="clear" w:color="auto" w:fill="C7DAF1" w:themeFill="text2" w:themeFillTint="32"/>
                    <w:rPr>
                      <w:rFonts w:hint="eastAsia" w:ascii="宋体" w:hAnsi="宋体" w:eastAsia="宋体" w:cs="Times New Roman"/>
                    </w:rPr>
                  </w:pP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p>
              </w:tc>
              <w:tc>
                <w:tcPr>
                  <w:tcW w:w="1519" w:type="dxa"/>
                  <w:shd w:val="clear" w:color="auto" w:fill="auto"/>
                  <w:vAlign w:val="center"/>
                </w:tcPr>
                <w:p>
                  <w:pPr>
                    <w:shd w:val="clear" w:color="auto" w:fill="C7DAF1" w:themeFill="text2" w:themeFillTint="32"/>
                    <w:rPr>
                      <w:rFonts w:hint="eastAsia"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7" w:type="dxa"/>
                  <w:shd w:val="clear" w:color="auto" w:fill="auto"/>
                  <w:vAlign w:val="center"/>
                </w:tcPr>
                <w:p>
                  <w:pPr>
                    <w:shd w:val="clear" w:color="auto" w:fill="C7DAF1" w:themeFill="text2" w:themeFillTint="32"/>
                    <w:rPr>
                      <w:rFonts w:hint="eastAsia" w:ascii="宋体" w:hAnsi="宋体" w:eastAsia="宋体" w:cs="Times New Roman"/>
                    </w:rPr>
                  </w:pPr>
                </w:p>
              </w:tc>
              <w:tc>
                <w:tcPr>
                  <w:tcW w:w="3255" w:type="dxa"/>
                  <w:shd w:val="clear" w:color="auto" w:fill="auto"/>
                  <w:vAlign w:val="center"/>
                </w:tcPr>
                <w:p>
                  <w:pPr>
                    <w:shd w:val="clear" w:color="auto" w:fill="C7DAF1" w:themeFill="text2" w:themeFillTint="32"/>
                    <w:rPr>
                      <w:rFonts w:hint="eastAsia" w:ascii="宋体" w:hAnsi="宋体" w:eastAsia="宋体" w:cs="Times New Roman"/>
                    </w:rPr>
                  </w:pPr>
                </w:p>
              </w:tc>
              <w:tc>
                <w:tcPr>
                  <w:tcW w:w="1080" w:type="dxa"/>
                  <w:shd w:val="clear" w:color="auto" w:fill="auto"/>
                  <w:vAlign w:val="center"/>
                </w:tcPr>
                <w:p>
                  <w:pPr>
                    <w:shd w:val="clear" w:color="auto" w:fill="C7DAF1" w:themeFill="text2" w:themeFillTint="32"/>
                    <w:rPr>
                      <w:rFonts w:hint="eastAsia" w:ascii="宋体" w:hAnsi="宋体" w:eastAsia="宋体" w:cs="Times New Roman"/>
                      <w:lang w:eastAsia="zh-CN"/>
                    </w:rPr>
                  </w:pPr>
                </w:p>
              </w:tc>
              <w:tc>
                <w:tcPr>
                  <w:tcW w:w="1519" w:type="dxa"/>
                  <w:shd w:val="clear" w:color="auto" w:fill="auto"/>
                  <w:vAlign w:val="center"/>
                </w:tcPr>
                <w:p>
                  <w:pPr>
                    <w:shd w:val="clear" w:color="auto" w:fill="C7DAF1" w:themeFill="text2" w:themeFillTint="32"/>
                    <w:rPr>
                      <w:rFonts w:hint="eastAsia" w:ascii="宋体" w:hAnsi="宋体" w:eastAsia="宋体" w:cs="Times New Roman"/>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highlight w:val="none"/>
                <w:lang w:eastAsia="zh-CN"/>
              </w:rPr>
              <w:t>建筑面积</w:t>
            </w:r>
            <w:r>
              <w:rPr>
                <w:rFonts w:hint="eastAsia"/>
                <w:color w:val="auto"/>
                <w:highlight w:val="none"/>
                <w:lang w:val="en-US" w:eastAsia="zh-CN"/>
              </w:rPr>
              <w:t>1</w:t>
            </w:r>
            <w:r>
              <w:rPr>
                <w:rFonts w:hint="eastAsia"/>
                <w:color w:val="auto"/>
                <w:highlight w:val="none"/>
                <w:lang w:eastAsia="zh-CN"/>
              </w:rPr>
              <w:t>00平</w:t>
            </w:r>
            <w:r>
              <w:rPr>
                <w:rFonts w:hint="eastAsia"/>
                <w:color w:val="auto"/>
                <w:highlight w:val="none"/>
                <w:lang w:val="en-US" w:eastAsia="zh-CN"/>
              </w:rPr>
              <w:t>方米</w:t>
            </w:r>
            <w:r>
              <w:rPr>
                <w:rFonts w:hint="eastAsia"/>
                <w:color w:val="auto"/>
                <w:highlight w:val="none"/>
              </w:rPr>
              <w:t>；生产车间</w:t>
            </w:r>
            <w:r>
              <w:rPr>
                <w:rFonts w:hint="eastAsia"/>
                <w:color w:val="auto"/>
                <w:highlight w:val="none"/>
                <w:lang w:val="en-US" w:eastAsia="zh-CN"/>
              </w:rPr>
              <w:t>0</w:t>
            </w:r>
            <w:r>
              <w:rPr>
                <w:rFonts w:hint="eastAsia"/>
                <w:color w:val="auto"/>
                <w:highlight w:val="none"/>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67"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rPr>
                <w:rFonts w:hint="eastAsia"/>
              </w:rPr>
              <w:t>组</w:t>
            </w:r>
            <w:r>
              <w:rPr>
                <w:rFonts w:hint="eastAsia"/>
                <w:color w:val="auto"/>
              </w:rPr>
              <w:t>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计量器具</w:t>
            </w:r>
            <w:r>
              <w:rPr>
                <w:rFonts w:hint="eastAsia" w:ascii="Wingdings" w:hAnsi="Wingdings"/>
                <w:color w:val="auto"/>
                <w:lang w:eastAsia="zh-CN"/>
              </w:rPr>
              <w:t>□</w:t>
            </w:r>
            <w:r>
              <w:rPr>
                <w:rFonts w:hint="eastAsia"/>
                <w:color w:val="auto"/>
              </w:rPr>
              <w:t>服务流程检查表</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t>□</w:t>
            </w:r>
            <w:r>
              <w:rPr>
                <w:rFonts w:hint="eastAsia"/>
                <w:color w:val="auto"/>
              </w:rPr>
              <w:t>外校</w:t>
            </w:r>
          </w:p>
          <w:p>
            <w:pPr>
              <w:shd w:val="clear" w:color="auto" w:fill="C7DAF1" w:themeFill="text2" w:themeFillTint="32"/>
              <w:rPr>
                <w:rFonts w:hint="eastAsia" w:eastAsia="宋体"/>
                <w:color w:val="auto"/>
                <w:u w:val="single"/>
                <w:lang w:val="en-US" w:eastAsia="zh-CN"/>
              </w:rPr>
            </w:pPr>
            <w:r>
              <w:rPr>
                <w:rFonts w:hint="eastAsia"/>
                <w:color w:val="auto"/>
              </w:rPr>
              <w:t>国家强检的计量器具有：</w:t>
            </w:r>
            <w:r>
              <w:rPr>
                <w:rFonts w:hint="eastAsia"/>
                <w:color w:val="auto"/>
                <w:lang w:val="en-US" w:eastAsia="zh-CN"/>
              </w:rPr>
              <w:t>无</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Times New Roman" w:hAnsi="Times New Roman" w:eastAsia="宋体" w:cs="Times New Roman"/>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7"/>
              <w:gridCol w:w="109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r>
                    <w:rPr>
                      <w:rFonts w:hint="eastAsia"/>
                    </w:rPr>
                    <w:t>产品/服务名称</w:t>
                  </w:r>
                </w:p>
              </w:tc>
              <w:tc>
                <w:tcPr>
                  <w:tcW w:w="1095" w:type="dxa"/>
                </w:tcPr>
                <w:p>
                  <w:pPr>
                    <w:shd w:val="clear" w:color="auto" w:fill="C7DAF1" w:themeFill="text2" w:themeFillTint="32"/>
                    <w:jc w:val="left"/>
                  </w:pPr>
                  <w:r>
                    <w:rPr>
                      <w:rFonts w:hint="eastAsia"/>
                    </w:rPr>
                    <w:t>关键过程</w:t>
                  </w:r>
                </w:p>
              </w:tc>
              <w:tc>
                <w:tcPr>
                  <w:tcW w:w="4140" w:type="dxa"/>
                </w:tcPr>
                <w:p>
                  <w:pPr>
                    <w:shd w:val="clear" w:color="auto" w:fill="C7DAF1" w:themeFill="text2" w:themeFillTint="32"/>
                    <w:jc w:val="left"/>
                  </w:pPr>
                  <w:r>
                    <w:rPr>
                      <w:rFonts w:hint="eastAsia"/>
                    </w:rPr>
                    <w:t>控制内容（</w:t>
                  </w:r>
                  <w:r>
                    <w:rPr>
                      <w:rFonts w:hint="eastAsia"/>
                      <w:lang w:val="en-US" w:eastAsia="zh-CN"/>
                    </w:rPr>
                    <w:t>方案、过程</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restart"/>
                </w:tcPr>
                <w:p>
                  <w:pPr>
                    <w:rPr>
                      <w:rFonts w:hint="eastAsia" w:eastAsia="宋体"/>
                      <w:lang w:eastAsia="zh-CN"/>
                    </w:rPr>
                  </w:pPr>
                  <w:r>
                    <w:rPr>
                      <w:sz w:val="20"/>
                    </w:rPr>
                    <w:t>环境监测系统(含设备、仪器仪表、计算机软硬件)的销售、运行维护服务</w:t>
                  </w:r>
                </w:p>
              </w:tc>
              <w:tc>
                <w:tcPr>
                  <w:tcW w:w="1095"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销售、服务过程</w:t>
                  </w:r>
                  <w:r>
                    <w:rPr>
                      <w:rFonts w:hint="eastAsia" w:ascii="Times New Roman" w:hAnsi="Times New Roman" w:eastAsia="宋体" w:cs="Times New Roman"/>
                    </w:rPr>
                    <w:t xml:space="preserve"> </w:t>
                  </w:r>
                </w:p>
              </w:tc>
              <w:tc>
                <w:tcPr>
                  <w:tcW w:w="4140"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过程确认、人员培训、过程监控等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vMerge w:val="continue"/>
                </w:tcPr>
                <w:p>
                  <w:pPr>
                    <w:shd w:val="clear" w:color="auto" w:fill="C7DAF1" w:themeFill="text2" w:themeFillTint="32"/>
                    <w:jc w:val="left"/>
                  </w:pPr>
                </w:p>
              </w:tc>
              <w:tc>
                <w:tcPr>
                  <w:tcW w:w="1095" w:type="dxa"/>
                </w:tcPr>
                <w:p>
                  <w:pPr>
                    <w:shd w:val="clear" w:color="auto" w:fill="C7DAF1" w:themeFill="text2" w:themeFillTint="32"/>
                    <w:jc w:val="left"/>
                    <w:rPr>
                      <w:rFonts w:hint="default" w:ascii="Times New Roman" w:hAnsi="Times New Roman" w:eastAsia="宋体" w:cs="Times New Roman"/>
                      <w:lang w:val="en-US" w:eastAsia="zh-CN"/>
                    </w:rPr>
                  </w:pPr>
                </w:p>
              </w:tc>
              <w:tc>
                <w:tcPr>
                  <w:tcW w:w="4140" w:type="dxa"/>
                </w:tcPr>
                <w:p>
                  <w:pPr>
                    <w:shd w:val="clear" w:color="auto" w:fill="C7DAF1" w:themeFill="text2" w:themeFillTint="32"/>
                    <w:jc w:val="left"/>
                    <w:rPr>
                      <w:rFonts w:hint="eastAsia" w:ascii="Times New Roman"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7" w:type="dxa"/>
                </w:tcPr>
                <w:p>
                  <w:pPr>
                    <w:shd w:val="clear" w:color="auto" w:fill="C7DAF1" w:themeFill="text2" w:themeFillTint="32"/>
                    <w:jc w:val="left"/>
                  </w:pPr>
                </w:p>
              </w:tc>
              <w:tc>
                <w:tcPr>
                  <w:tcW w:w="1095" w:type="dxa"/>
                </w:tcPr>
                <w:p>
                  <w:pPr>
                    <w:shd w:val="clear" w:color="auto" w:fill="C7DAF1" w:themeFill="text2" w:themeFillTint="32"/>
                    <w:jc w:val="left"/>
                    <w:rPr>
                      <w:rFonts w:hint="eastAsia" w:ascii="Times New Roman" w:hAnsi="Times New Roman" w:eastAsia="宋体" w:cs="Times New Roman"/>
                    </w:rPr>
                  </w:pPr>
                </w:p>
              </w:tc>
              <w:tc>
                <w:tcPr>
                  <w:tcW w:w="4140" w:type="dxa"/>
                </w:tcPr>
                <w:p>
                  <w:pPr>
                    <w:shd w:val="clear" w:color="auto" w:fill="C7DAF1" w:themeFill="text2" w:themeFillTint="32"/>
                    <w:jc w:val="left"/>
                    <w:rPr>
                      <w:rFonts w:hint="eastAsia" w:ascii="Times New Roman" w:hAnsi="Times New Roman" w:eastAsia="宋体" w:cs="Times New Roma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sz w:val="21"/>
                <w:szCs w:val="21"/>
                <w:lang w:val="en-US" w:eastAsia="zh-CN"/>
              </w:rPr>
              <w:t>咨询服务过程</w:t>
            </w:r>
            <w:r>
              <w:rPr>
                <w:rFonts w:hint="eastAsia"/>
                <w:color w:val="FF0000"/>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10</w:t>
            </w:r>
            <w:r>
              <w:rPr>
                <w:rFonts w:hint="eastAsia"/>
                <w:lang w:eastAsia="zh-CN"/>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eastAsia="zh-CN"/>
              </w:rPr>
              <w:t>20</w:t>
            </w:r>
            <w:r>
              <w:rPr>
                <w:rFonts w:hint="eastAsia"/>
                <w:lang w:val="en-US" w:eastAsia="zh-CN"/>
              </w:rPr>
              <w:t>22</w:t>
            </w:r>
            <w:r>
              <w:rPr>
                <w:rFonts w:hint="eastAsia"/>
                <w:lang w:eastAsia="zh-CN"/>
              </w:rPr>
              <w:t>年</w:t>
            </w:r>
            <w:r>
              <w:rPr>
                <w:rFonts w:hint="eastAsia"/>
                <w:lang w:val="en-US" w:eastAsia="zh-CN"/>
              </w:rPr>
              <w:t>9</w:t>
            </w:r>
            <w:r>
              <w:rPr>
                <w:rFonts w:hint="eastAsia"/>
                <w:lang w:eastAsia="zh-CN"/>
              </w:rPr>
              <w:t>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3</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lang w:val="en-US" w:eastAsia="zh-CN"/>
              </w:rPr>
            </w:pP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p>
        </w:tc>
        <w:tc>
          <w:tcPr>
            <w:tcW w:w="649"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50" w:type="dxa"/>
            <w:vAlign w:val="center"/>
          </w:tcPr>
          <w:p>
            <w:pPr>
              <w:shd w:val="clear" w:color="auto" w:fill="C7DAF1" w:themeFill="text2" w:themeFillTint="32"/>
              <w:rPr>
                <w:color w:val="auto"/>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color w:val="auto"/>
                <w:lang w:val="en-US" w:eastAsia="zh-CN"/>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color w:val="auto"/>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color w:val="auto"/>
                <w:lang w:val="en-US" w:eastAsia="zh-CN"/>
              </w:rPr>
            </w:pPr>
          </w:p>
        </w:tc>
        <w:tc>
          <w:tcPr>
            <w:tcW w:w="650" w:type="dxa"/>
            <w:tcBorders>
              <w:bottom w:val="single" w:color="auto" w:sz="4" w:space="0"/>
            </w:tcBorders>
            <w:vAlign w:val="center"/>
          </w:tcPr>
          <w:p>
            <w:pPr>
              <w:shd w:val="clear" w:color="auto" w:fill="C7DAF1" w:themeFill="text2" w:themeFillTint="32"/>
              <w:rPr>
                <w:color w:val="auto"/>
                <w:lang w:eastAsia="ja-JP"/>
              </w:rPr>
            </w:pPr>
          </w:p>
        </w:tc>
        <w:tc>
          <w:tcPr>
            <w:tcW w:w="650" w:type="dxa"/>
            <w:tcBorders>
              <w:bottom w:val="single" w:color="auto" w:sz="4" w:space="0"/>
            </w:tcBorders>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w:t>
            </w:r>
            <w:r>
              <w:rPr>
                <w:rFonts w:hint="eastAsia"/>
                <w:lang w:eastAsia="zh-CN"/>
              </w:rPr>
              <w:t>□</w:t>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最高管理者制定了文件化的管理体</w:t>
            </w:r>
            <w:r>
              <w:rPr>
                <w:rFonts w:hint="eastAsia" w:ascii="Times New Roman" w:hAnsi="Times New Roman" w:eastAsia="宋体" w:cs="Times New Roman"/>
              </w:rPr>
              <w:t>系方针：</w:t>
            </w:r>
            <w:r>
              <w:rPr>
                <w:rFonts w:hint="eastAsia" w:ascii="Times New Roman" w:hAnsi="Times New Roman" w:eastAsia="宋体" w:cs="Times New Roman"/>
                <w:lang w:eastAsia="zh-CN"/>
              </w:rPr>
              <w:t>“</w:t>
            </w:r>
            <w:r>
              <w:rPr>
                <w:rFonts w:hint="eastAsia" w:ascii="Times New Roman" w:hAnsi="Times New Roman" w:eastAsia="宋体" w:cs="Times New Roman"/>
              </w:rPr>
              <w:t>坚持走可持续发展之路，倡导绿色环保思想，遵守法律法规，从产品安装到服务的全过程中，实行污染预防和持续改进</w:t>
            </w:r>
            <w:r>
              <w:rPr>
                <w:rFonts w:hint="eastAsia" w:ascii="Times New Roman" w:hAnsi="Times New Roman" w:eastAsia="宋体" w:cs="Times New Roman"/>
                <w:lang w:eastAsia="zh-CN"/>
              </w:rPr>
              <w:t>”</w:t>
            </w:r>
            <w:r>
              <w:rPr>
                <w:rFonts w:hint="eastAsia" w:ascii="Times New Roman" w:hAnsi="Times New Roman" w:eastAsia="宋体" w:cs="Times New Roman"/>
              </w:rPr>
              <w:t>；</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竞争风险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及时关注公司产品市场的情况，收集信息及时调整，保持公司产品的竞争力</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eastAsia="宋体"/>
                      <w:lang w:val="en-US" w:eastAsia="zh-CN"/>
                    </w:rPr>
                  </w:pPr>
                  <w:r>
                    <w:rPr>
                      <w:rFonts w:hint="eastAsia" w:eastAsia="宋体"/>
                    </w:rPr>
                    <w:t>人力资源风险</w:t>
                  </w:r>
                </w:p>
              </w:tc>
              <w:tc>
                <w:tcPr>
                  <w:tcW w:w="3965" w:type="dxa"/>
                  <w:vAlign w:val="top"/>
                </w:tcPr>
                <w:p>
                  <w:pPr>
                    <w:shd w:val="clear" w:color="auto" w:fill="EBF1DE" w:themeFill="accent3" w:themeFillTint="32"/>
                    <w:rPr>
                      <w:rFonts w:hint="eastAsia" w:eastAsia="宋体"/>
                      <w:lang w:val="en-US" w:eastAsia="zh-CN"/>
                    </w:rPr>
                  </w:pPr>
                  <w:r>
                    <w:rPr>
                      <w:rFonts w:hint="eastAsia" w:eastAsia="宋体"/>
                    </w:rPr>
                    <w:t>各部门应及时关注员工的心态变化，注意工作方式，创造良好的工作环境，提高员工的归属感</w:t>
                  </w:r>
                </w:p>
              </w:tc>
              <w:tc>
                <w:tcPr>
                  <w:tcW w:w="1717" w:type="dxa"/>
                  <w:vAlign w:val="top"/>
                </w:tcPr>
                <w:p>
                  <w:pPr>
                    <w:shd w:val="clear" w:color="auto" w:fill="EBF1DE" w:themeFill="accent3" w:themeFillTint="32"/>
                    <w:rPr>
                      <w:rFonts w:hint="eastAsia" w:eastAsia="宋体"/>
                      <w:lang w:val="en-US" w:eastAsia="zh-CN"/>
                    </w:rPr>
                  </w:pPr>
                  <w:r>
                    <w:rPr>
                      <w:rFonts w:hint="eastAsia" w:eastAsia="宋体"/>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废气排放□粉尘排放</w:t>
            </w:r>
            <w:r>
              <w:rPr>
                <w:rFonts w:hint="eastAsia"/>
                <w:lang w:eastAsia="zh-CN"/>
              </w:rPr>
              <w:t>□</w:t>
            </w:r>
            <w:r>
              <w:rPr>
                <w:rFonts w:hint="eastAsia"/>
              </w:rPr>
              <w:t>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2"/>
              <w:gridCol w:w="208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085"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火灾发生为0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eastAsia="zh-CN"/>
                    </w:rPr>
                    <w:t>废弃物分类收集处理率100%</w:t>
                  </w:r>
                </w:p>
              </w:tc>
              <w:tc>
                <w:tcPr>
                  <w:tcW w:w="2085"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环境目标、指标、管理方案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2" w:type="dxa"/>
                  <w:shd w:val="clear" w:color="auto" w:fill="auto"/>
                </w:tcPr>
                <w:p>
                  <w:pPr>
                    <w:shd w:val="clear" w:color="auto" w:fill="EBF1DE" w:themeFill="accent3" w:themeFillTint="32"/>
                  </w:pPr>
                </w:p>
              </w:tc>
              <w:tc>
                <w:tcPr>
                  <w:tcW w:w="2085"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auto"/>
              </w:rPr>
            </w:pPr>
            <w:r>
              <w:rPr>
                <w:rFonts w:hint="eastAsia"/>
                <w:color w:val="auto"/>
              </w:rPr>
              <w:t>建筑</w:t>
            </w:r>
            <w:r>
              <w:rPr>
                <w:rFonts w:hint="eastAsia"/>
                <w:color w:val="auto"/>
                <w:lang w:eastAsia="zh-CN"/>
              </w:rPr>
              <w:t>面积</w:t>
            </w:r>
            <w:r>
              <w:rPr>
                <w:rFonts w:hint="eastAsia"/>
                <w:color w:val="auto"/>
                <w:lang w:val="en-US" w:eastAsia="zh-CN"/>
              </w:rPr>
              <w:t>100</w:t>
            </w:r>
            <w:r>
              <w:rPr>
                <w:rFonts w:hint="eastAsia"/>
                <w:color w:val="auto"/>
                <w:lang w:eastAsia="zh-CN"/>
              </w:rPr>
              <w:t>平</w:t>
            </w:r>
            <w:r>
              <w:rPr>
                <w:rFonts w:hint="eastAsia"/>
                <w:color w:val="auto"/>
              </w:rPr>
              <w:t>方米；生产车间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lang w:eastAsia="zh-CN"/>
              </w:rPr>
              <w:t>等</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行政部</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制定环境管理方案、运行控制程序</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ind w:firstLine="105" w:firstLineChars="50"/>
                    <w:rPr>
                      <w:rFonts w:ascii="Times New Roman" w:hAnsi="Times New Roman" w:eastAsia="宋体" w:cs="Times New Roman"/>
                      <w:kern w:val="2"/>
                      <w:sz w:val="21"/>
                      <w:szCs w:val="24"/>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10</w:t>
            </w:r>
            <w:r>
              <w:rPr>
                <w:rFonts w:hint="eastAsia"/>
                <w:lang w:eastAsia="zh-CN"/>
              </w:rPr>
              <w:t>月</w:t>
            </w:r>
            <w:r>
              <w:rPr>
                <w:rFonts w:hint="eastAsia"/>
                <w:lang w:val="en-US" w:eastAsia="zh-CN"/>
              </w:rPr>
              <w:t>9</w:t>
            </w:r>
            <w:r>
              <w:rPr>
                <w:rFonts w:hint="eastAsia"/>
                <w:lang w:eastAsia="zh-C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t>☑</w:t>
            </w:r>
            <w:r>
              <w:rPr>
                <w:rFonts w:hint="eastAsia"/>
              </w:rPr>
              <w:t>定期（每年）：</w:t>
            </w:r>
            <w:r>
              <w:rPr>
                <w:rFonts w:hint="eastAsia"/>
                <w:lang w:eastAsia="zh-CN"/>
              </w:rPr>
              <w:t>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w:t>
            </w:r>
            <w:r>
              <w:rPr>
                <w:rFonts w:hint="eastAsia"/>
                <w:lang w:val="en-US" w:eastAsia="zh-CN"/>
              </w:rPr>
              <w:t>15</w:t>
            </w:r>
            <w:r>
              <w:rPr>
                <w:rFonts w:hint="eastAsia"/>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9</w:t>
            </w:r>
            <w:r>
              <w:rPr>
                <w:rFonts w:hint="eastAsia"/>
                <w:lang w:eastAsia="zh-CN"/>
              </w:rPr>
              <w:t>月</w:t>
            </w:r>
            <w:r>
              <w:rPr>
                <w:rFonts w:hint="eastAsia"/>
                <w:lang w:val="en-US" w:eastAsia="zh-CN"/>
              </w:rPr>
              <w:t>10</w:t>
            </w:r>
            <w:r>
              <w:rPr>
                <w:rFonts w:hint="eastAsia"/>
                <w:lang w:eastAsia="zh-CN"/>
              </w:rPr>
              <w:t>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2022年9月25日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认知□价值观</w:t>
                  </w:r>
                  <w:r>
                    <w:rPr>
                      <w:rFonts w:hint="eastAsia"/>
                      <w:lang w:eastAsia="zh-CN"/>
                    </w:rPr>
                    <w:t>☑</w:t>
                  </w:r>
                  <w:r>
                    <w:rPr>
                      <w:rFonts w:hint="eastAsia"/>
                    </w:rPr>
                    <w:t>文化□知识□绩效□工艺</w:t>
                  </w:r>
                  <w:r>
                    <w:rPr>
                      <w:rFonts w:hint="eastAsia"/>
                      <w:lang w:eastAsia="zh-CN"/>
                    </w:rPr>
                    <w:t>□</w:t>
                  </w:r>
                  <w:r>
                    <w:rPr>
                      <w:rFonts w:hint="eastAsia"/>
                    </w:rPr>
                    <w:t>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生产/服务过程□安全监测</w:t>
            </w:r>
            <w:r>
              <w:rPr>
                <w:rFonts w:hint="eastAsia"/>
                <w:lang w:eastAsia="zh-CN"/>
              </w:rPr>
              <w:t>□</w:t>
            </w:r>
            <w:r>
              <w:rPr>
                <w:rFonts w:hint="eastAsia"/>
              </w:rPr>
              <w:t>产品运输□设备维修</w:t>
            </w:r>
          </w:p>
          <w:p>
            <w:pPr>
              <w:spacing w:before="40" w:after="40"/>
            </w:pPr>
            <w:r>
              <w:rPr>
                <w:rFonts w:hint="eastAsia"/>
                <w:lang w:eastAsia="zh-CN"/>
              </w:rPr>
              <w:t>□</w:t>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both"/>
              <w:rPr>
                <w:rFonts w:hint="eastAsia" w:ascii="Times New Roman" w:hAnsi="Times New Roman" w:eastAsia="宋体" w:cs="Times New Roman"/>
                <w:lang w:eastAsia="zh-CN"/>
              </w:rPr>
            </w:pPr>
            <w:r>
              <w:rPr>
                <w:rFonts w:hint="eastAsia"/>
              </w:rPr>
              <w:t>最高管理者制定了文件化的职业健</w:t>
            </w:r>
            <w:r>
              <w:rPr>
                <w:rFonts w:hint="eastAsia" w:ascii="Times New Roman" w:hAnsi="Times New Roman" w:eastAsia="宋体" w:cs="Times New Roman"/>
              </w:rPr>
              <w:t>康安全管理体系方针：</w:t>
            </w:r>
            <w:r>
              <w:rPr>
                <w:rFonts w:hint="eastAsia" w:ascii="Times New Roman" w:hAnsi="Times New Roman" w:eastAsia="宋体" w:cs="Times New Roman"/>
                <w:lang w:eastAsia="zh-CN"/>
              </w:rPr>
              <w:t>“</w:t>
            </w:r>
            <w:r>
              <w:rPr>
                <w:rFonts w:hint="eastAsia" w:ascii="Times New Roman" w:hAnsi="Times New Roman" w:eastAsia="宋体" w:cs="Times New Roman"/>
              </w:rPr>
              <w:t>保障健康、安全安装、以人为本、永续发展、遵守法规、持续改进</w:t>
            </w:r>
            <w:r>
              <w:rPr>
                <w:rFonts w:hint="eastAsia" w:ascii="Times New Roman" w:hAnsi="Times New Roman" w:eastAsia="宋体" w:cs="Times New Roman"/>
                <w:lang w:eastAsia="zh-CN"/>
              </w:rPr>
              <w:t>”</w:t>
            </w:r>
          </w:p>
          <w:p>
            <w:pPr>
              <w:spacing w:line="360" w:lineRule="exact"/>
              <w:ind w:right="210"/>
              <w:jc w:val="both"/>
              <w:rPr>
                <w:lang w:val="en-GB"/>
              </w:rPr>
            </w:pPr>
            <w:r>
              <w:rPr>
                <w:rFonts w:hint="eastAsia" w:ascii="Times New Roman" w:hAnsi="Times New Roman" w:eastAsia="宋体" w:cs="Times New Roman"/>
              </w:rPr>
              <w:t>职业健康安全</w:t>
            </w:r>
            <w:r>
              <w:rPr>
                <w:rFonts w:hint="eastAsia" w:ascii="Times New Roman" w:hAnsi="Times New Roman" w:eastAsia="宋体" w:cs="Times New Roman"/>
                <w:lang w:val="en-GB"/>
              </w:rPr>
              <w:t>方针合理恰当并为相应的</w:t>
            </w:r>
            <w:r>
              <w:rPr>
                <w:rFonts w:hint="eastAsia" w:ascii="Times New Roman" w:hAnsi="Times New Roman" w:eastAsia="宋体" w:cs="Times New Roman"/>
              </w:rPr>
              <w:t>职业健康安</w:t>
            </w:r>
            <w:r>
              <w:rPr>
                <w:rFonts w:hint="eastAsia"/>
              </w:rPr>
              <w:t>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r>
              <w:rPr>
                <w:rFonts w:hint="eastAsia"/>
              </w:rPr>
              <w:t>安全的主管部门是——</w:t>
            </w:r>
            <w:r>
              <w:rPr>
                <w:rFonts w:hint="eastAsia"/>
                <w:lang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唐志军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服务过程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制定服务过程手册、安全措施并严格执行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2"/>
              <w:gridCol w:w="2467"/>
              <w:gridCol w:w="1159"/>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159" w:type="dxa"/>
                  <w:shd w:val="clear" w:color="auto" w:fill="auto"/>
                </w:tcPr>
                <w:p>
                  <w:pPr>
                    <w:rPr>
                      <w:rFonts w:ascii="宋体" w:hAnsi="宋体"/>
                    </w:rPr>
                  </w:pPr>
                  <w:r>
                    <w:rPr>
                      <w:rFonts w:hint="eastAsia" w:ascii="宋体" w:hAnsi="宋体"/>
                    </w:rPr>
                    <w:t>责任部门</w:t>
                  </w:r>
                </w:p>
              </w:tc>
              <w:tc>
                <w:tcPr>
                  <w:tcW w:w="1653"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重大安全事故发生为0</w:t>
                  </w:r>
                </w:p>
              </w:tc>
              <w:tc>
                <w:tcPr>
                  <w:tcW w:w="2467" w:type="dxa"/>
                  <w:shd w:val="clear" w:color="auto" w:fill="auto"/>
                  <w:vAlign w:val="center"/>
                </w:tcPr>
                <w:p>
                  <w:pPr>
                    <w:rPr>
                      <w:rFonts w:hint="default" w:ascii="Times New Roman" w:hAnsi="Times New Roman" w:eastAsia="宋体" w:cs="Times New Roman"/>
                      <w:lang w:val="en-GB" w:eastAsia="zh-CN"/>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cs="Times New Roman"/>
                      <w:lang w:val="en-US" w:eastAsia="zh-CN"/>
                    </w:rPr>
                    <w:t>行政部</w:t>
                  </w:r>
                </w:p>
              </w:tc>
              <w:tc>
                <w:tcPr>
                  <w:tcW w:w="1653" w:type="dxa"/>
                  <w:shd w:val="clear" w:color="auto" w:fill="auto"/>
                  <w:vAlign w:val="top"/>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pStyle w:val="4"/>
                    <w:tabs>
                      <w:tab w:val="left" w:pos="1200"/>
                    </w:tabs>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重大火灾事故发生为0</w:t>
                  </w:r>
                </w:p>
              </w:tc>
              <w:tc>
                <w:tcPr>
                  <w:tcW w:w="2467"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行政部</w:t>
                  </w:r>
                </w:p>
              </w:tc>
              <w:tc>
                <w:tcPr>
                  <w:tcW w:w="1653"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vAlign w:val="center"/>
                </w:tcPr>
                <w:p>
                  <w:pPr>
                    <w:pStyle w:val="4"/>
                    <w:tabs>
                      <w:tab w:val="left" w:pos="1200"/>
                    </w:tabs>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重大伤亡事故发和为0</w:t>
                  </w:r>
                </w:p>
              </w:tc>
              <w:tc>
                <w:tcPr>
                  <w:tcW w:w="2467"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职业健康安全管理方案</w:t>
                  </w:r>
                </w:p>
              </w:tc>
              <w:tc>
                <w:tcPr>
                  <w:tcW w:w="1159"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行政部</w:t>
                  </w:r>
                </w:p>
              </w:tc>
              <w:tc>
                <w:tcPr>
                  <w:tcW w:w="1653"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tc>
              <w:tc>
                <w:tcPr>
                  <w:tcW w:w="246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2" w:type="dxa"/>
                  <w:shd w:val="clear" w:color="auto" w:fill="auto"/>
                </w:tcPr>
                <w:p/>
              </w:tc>
              <w:tc>
                <w:tcPr>
                  <w:tcW w:w="2467" w:type="dxa"/>
                  <w:shd w:val="clear" w:color="auto" w:fill="auto"/>
                  <w:vAlign w:val="center"/>
                </w:tcPr>
                <w:p>
                  <w:pPr>
                    <w:rPr>
                      <w:rFonts w:ascii="宋体" w:hAnsi="宋体"/>
                    </w:rPr>
                  </w:pPr>
                </w:p>
              </w:tc>
              <w:tc>
                <w:tcPr>
                  <w:tcW w:w="1159" w:type="dxa"/>
                  <w:shd w:val="clear" w:color="auto" w:fill="auto"/>
                  <w:vAlign w:val="center"/>
                </w:tcPr>
                <w:p>
                  <w:pPr>
                    <w:rPr>
                      <w:rFonts w:ascii="宋体" w:hAnsi="宋体"/>
                    </w:rPr>
                  </w:pPr>
                </w:p>
              </w:tc>
              <w:tc>
                <w:tcPr>
                  <w:tcW w:w="1653"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color w:val="auto"/>
              </w:rPr>
            </w:pPr>
            <w:r>
              <w:rPr>
                <w:rFonts w:hint="eastAsia"/>
                <w:lang w:eastAsia="zh-CN"/>
              </w:rPr>
              <w:t>建筑面积</w:t>
            </w:r>
            <w:r>
              <w:rPr>
                <w:rFonts w:hint="eastAsia"/>
                <w:color w:val="auto"/>
                <w:lang w:val="en-US" w:eastAsia="zh-CN"/>
              </w:rPr>
              <w:t>1</w:t>
            </w:r>
            <w:r>
              <w:rPr>
                <w:rFonts w:hint="eastAsia"/>
                <w:color w:val="auto"/>
                <w:lang w:eastAsia="zh-CN"/>
              </w:rPr>
              <w:t>00</w:t>
            </w:r>
            <w:r>
              <w:rPr>
                <w:rFonts w:hint="eastAsia"/>
                <w:color w:val="auto"/>
                <w:lang w:val="en-US" w:eastAsia="zh-CN"/>
              </w:rPr>
              <w:t>平方米</w:t>
            </w:r>
            <w:r>
              <w:rPr>
                <w:rFonts w:hint="eastAsia"/>
                <w:color w:val="auto"/>
              </w:rPr>
              <w:t>；生产车间</w:t>
            </w:r>
            <w:r>
              <w:rPr>
                <w:rFonts w:hint="eastAsia"/>
                <w:color w:val="auto"/>
                <w:lang w:val="en-US" w:eastAsia="zh-CN"/>
              </w:rPr>
              <w:t>0</w:t>
            </w:r>
            <w:r>
              <w:rPr>
                <w:rFonts w:hint="eastAsia"/>
                <w:color w:val="auto"/>
              </w:rPr>
              <w:t>个；库房</w:t>
            </w:r>
            <w:r>
              <w:rPr>
                <w:rFonts w:hint="eastAsia"/>
                <w:color w:val="auto"/>
                <w:lang w:val="en-US" w:eastAsia="zh-CN"/>
              </w:rPr>
              <w:t>0</w:t>
            </w:r>
            <w:r>
              <w:rPr>
                <w:rFonts w:hint="eastAsia"/>
                <w:color w:val="auto"/>
              </w:rPr>
              <w:t>个；实验室</w:t>
            </w:r>
            <w:r>
              <w:rPr>
                <w:rFonts w:hint="eastAsia"/>
                <w:color w:val="auto"/>
                <w:lang w:val="en-US" w:eastAsia="zh-CN"/>
              </w:rPr>
              <w:t>0</w:t>
            </w:r>
            <w:r>
              <w:rPr>
                <w:rFonts w:hint="eastAsia"/>
                <w:color w:val="auto"/>
              </w:rPr>
              <w:t>个；</w:t>
            </w:r>
          </w:p>
          <w:p>
            <w:pPr>
              <w:rPr>
                <w:rFonts w:hint="default" w:eastAsia="宋体"/>
                <w:u w:val="single"/>
                <w:lang w:val="en-US" w:eastAsia="zh-CN"/>
              </w:rPr>
            </w:pPr>
            <w:r>
              <w:rPr>
                <w:rFonts w:hint="eastAsia"/>
              </w:rPr>
              <w:t>主要生产设备有：</w:t>
            </w:r>
            <w:r>
              <w:rPr>
                <w:rFonts w:hint="eastAsia" w:ascii="Times New Roman" w:hAnsi="Times New Roman" w:eastAsia="宋体" w:cs="Times New Roman"/>
                <w:u w:val="single"/>
                <w:lang w:eastAsia="zh-CN"/>
              </w:rPr>
              <w:t>电脑、打印机</w:t>
            </w:r>
            <w:r>
              <w:rPr>
                <w:rFonts w:hint="eastAsia"/>
                <w:u w:val="single"/>
                <w:lang w:val="en-US" w:eastAsia="zh-CN"/>
              </w:rPr>
              <w:t>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lang w:eastAsia="zh-CN"/>
              </w:rPr>
              <w:t>行政部</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 </w:t>
            </w:r>
            <w:r>
              <w:rPr>
                <w:rFonts w:hint="eastAsia"/>
                <w:u w:val="single"/>
              </w:rPr>
              <w:t>（举</w:t>
            </w:r>
            <w:r>
              <w:rPr>
                <w:rFonts w:hint="eastAsia"/>
              </w:rPr>
              <w:t>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w:t>
                  </w:r>
                  <w:r>
                    <w:rPr>
                      <w:rFonts w:hint="eastAsia"/>
                      <w:lang w:eastAsia="zh-CN"/>
                    </w:rPr>
                    <w:t>□</w:t>
                  </w:r>
                  <w:r>
                    <w:rPr>
                      <w:rFonts w:hint="eastAsia"/>
                    </w:rPr>
                    <w:t>挂牌上锁管理</w:t>
                  </w:r>
                </w:p>
              </w:tc>
              <w:tc>
                <w:tcPr>
                  <w:tcW w:w="2205" w:type="dxa"/>
                </w:tcPr>
                <w:p>
                  <w:pPr>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ascii="Times New Roman" w:hAnsi="Times New Roman" w:cs="Times New Roman"/>
                      <w:color w:val="000000"/>
                      <w:szCs w:val="18"/>
                      <w:lang w:val="en-US" w:eastAsia="zh-CN"/>
                    </w:rPr>
                    <w:t>火灾预防、火灾应急预案</w:t>
                  </w:r>
                </w:p>
              </w:tc>
              <w:tc>
                <w:tcPr>
                  <w:tcW w:w="2205" w:type="dxa"/>
                </w:tcPr>
                <w:p>
                  <w:pPr>
                    <w:jc w:val="left"/>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lang w:val="en-US" w:eastAsia="zh-CN"/>
              </w:rPr>
              <w:t>电梯</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eastAsia="zh-CN"/>
              </w:rPr>
              <w:t>202</w:t>
            </w:r>
            <w:r>
              <w:rPr>
                <w:rFonts w:hint="eastAsia"/>
                <w:lang w:val="en-US" w:eastAsia="zh-CN"/>
              </w:rPr>
              <w:t>2</w:t>
            </w:r>
            <w:r>
              <w:rPr>
                <w:rFonts w:hint="eastAsia"/>
                <w:lang w:eastAsia="zh-CN"/>
              </w:rPr>
              <w:t>年</w:t>
            </w:r>
            <w:r>
              <w:rPr>
                <w:rFonts w:hint="eastAsia"/>
                <w:lang w:val="en-US" w:eastAsia="zh-CN"/>
              </w:rPr>
              <w:t>10</w:t>
            </w:r>
            <w:r>
              <w:rPr>
                <w:rFonts w:hint="eastAsia"/>
                <w:lang w:eastAsia="zh-CN"/>
              </w:rPr>
              <w:t>月</w:t>
            </w:r>
            <w:r>
              <w:rPr>
                <w:rFonts w:hint="eastAsia"/>
                <w:lang w:val="en-US" w:eastAsia="zh-CN"/>
              </w:rPr>
              <w:t>9</w:t>
            </w:r>
            <w:r>
              <w:rPr>
                <w:rFonts w:hint="eastAsia"/>
                <w:lang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rPr>
              <w:t>定期（每年）：</w:t>
            </w:r>
            <w:r>
              <w:rPr>
                <w:rFonts w:hint="eastAsia"/>
                <w:lang w:eastAsia="zh-CN"/>
              </w:rPr>
              <w:t>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w:t>
            </w:r>
            <w:r>
              <w:rPr>
                <w:rFonts w:hint="eastAsia"/>
                <w:lang w:val="en-US" w:eastAsia="zh-CN"/>
              </w:rPr>
              <w:t>15</w:t>
            </w:r>
            <w:r>
              <w:rPr>
                <w:rFonts w:hint="eastAsia"/>
                <w:lang w:eastAsia="zh-CN"/>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2022年9月10日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2022年9月25日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3"/>
        <w:rPr>
          <w:rFonts w:eastAsia="微软雅黑"/>
          <w:sz w:val="20"/>
          <w:szCs w:val="20"/>
        </w:rPr>
      </w:pPr>
    </w:p>
    <w:p>
      <w:pPr>
        <w:pStyle w:val="3"/>
        <w:rPr>
          <w:rFonts w:eastAsia="微软雅黑"/>
          <w:sz w:val="20"/>
          <w:szCs w:val="20"/>
        </w:rPr>
      </w:pPr>
    </w:p>
    <w:p>
      <w:pPr>
        <w:pStyle w:val="3"/>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0B1E54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0"/>
    <w:pPr>
      <w:spacing w:after="120" w:afterLines="0"/>
    </w:p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18726</Words>
  <Characters>19504</Characters>
  <Lines>150</Lines>
  <Paragraphs>42</Paragraphs>
  <TotalTime>5</TotalTime>
  <ScaleCrop>false</ScaleCrop>
  <LinksUpToDate>false</LinksUpToDate>
  <CharactersWithSpaces>19625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2022-12-07T05:53:00Z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