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四川华盛竹业有限责任公司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邓清梅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06.02.01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断料开片疏解——碳化——浸胶——干燥——胶压——铣型——砂光——包装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</w:t>
            </w:r>
            <w:r>
              <w:rPr>
                <w:rFonts w:hint="eastAsia"/>
                <w:b/>
                <w:sz w:val="20"/>
                <w:lang w:val="en-US" w:eastAsia="zh-CN"/>
              </w:rPr>
              <w:t>/特殊过程：</w:t>
            </w:r>
            <w:r>
              <w:rPr>
                <w:rFonts w:hint="eastAsia"/>
                <w:b/>
                <w:sz w:val="20"/>
                <w:lang w:eastAsia="zh-CN"/>
              </w:rPr>
              <w:t>浸胶、胶压。原材料尺寸长度宽度，干燥过程水分、温度控制，胶压温度压力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，关键过程作业指导书控制措施；人员培训合格上岗，设备定期维护保养。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结构用竹木复合板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GB/T 21128-2007、竹集成材地板 GB/T 20240-2017、竹单板饰面人造板 GB/T 21129-2007、湿法硬质纤维板 第4部分：干燥条件下使用的普通用板 GB/T 12626.4-2015、湿法硬质纤维板 第1部分：定义和分类 GB/T 12626.1-2009、</w:t>
            </w:r>
            <w:r>
              <w:rPr>
                <w:rFonts w:hint="eastAsia"/>
                <w:b/>
                <w:color w:val="FF0000"/>
                <w:sz w:val="20"/>
                <w:highlight w:val="none"/>
                <w:lang w:val="en-US" w:eastAsia="zh-CN"/>
              </w:rPr>
              <w:t>GB/T 30364-2013重组竹地板、GB/T 17657-2013人造板及饰面人造板理化性能试验方法等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检验指标有：含水率、密度、吸水宽度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/厚度膨胀率、水平剪切强度、</w:t>
            </w:r>
            <w:r>
              <w:rPr>
                <w:rFonts w:hint="eastAsia"/>
                <w:b/>
                <w:color w:val="FF0000"/>
                <w:sz w:val="20"/>
                <w:highlight w:val="none"/>
                <w:lang w:val="en-US" w:eastAsia="zh-CN"/>
              </w:rPr>
              <w:t>静曲强度、弹性模量、内胶合强度等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436880</wp:posOffset>
                  </wp:positionV>
                  <wp:extent cx="1734185" cy="975995"/>
                  <wp:effectExtent l="0" t="0" r="0" b="0"/>
                  <wp:wrapNone/>
                  <wp:docPr id="33" name="图片 33" descr="微信图片_2022121410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微信图片_202212141017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186055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2022年12月11日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0033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2022-12-14T02:47:36Z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