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大庆市庆丰源科技有限公司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hAnsi="Times New Roman" w:eastAsia="方正仿宋简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生产用水企业自取，但未见办理取水证，据企业介绍地方政府未要求办理。也未安装流量计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下次现场审核关注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计量器具校验还需要加强管理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相关方的识别清单中未识别供电及用能设备采购等相关部门，建议增加。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eastAsia="宋体" w:cs="Times New Roman"/>
                <w:color w:val="auto"/>
                <w:spacing w:val="0"/>
                <w:kern w:val="2"/>
                <w:sz w:val="21"/>
                <w:szCs w:val="22"/>
                <w:lang w:val="en-US" w:eastAsia="zh-CN" w:bidi="ar-SA"/>
              </w:rPr>
              <w:t>外部因素中的“行业标准的变化”的主责控制部门是行政部，与企业实际不符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办公室作为培训和人力资源管理部门应设置有关人员能力、培训及文件管理的相关目标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1"/>
                <w:szCs w:val="22"/>
                <w:lang w:val="en-US" w:eastAsia="zh-CN" w:bidi="ar-SA"/>
              </w:rPr>
              <w:t>企业的内部审核不规范，审核记录的检查内容过于简单，已和企业沟通进一步完善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2B874B9"/>
    <w:rsid w:val="44DC5586"/>
    <w:rsid w:val="789E5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164</Words>
  <Characters>186</Characters>
  <Lines>1</Lines>
  <Paragraphs>1</Paragraphs>
  <TotalTime>1</TotalTime>
  <ScaleCrop>false</ScaleCrop>
  <LinksUpToDate>false</LinksUpToDate>
  <CharactersWithSpaces>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2022-12-09T04:31:04Z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