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1254-2022-EnMS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福州联华林德气体有限公司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91350181MA345G7B1C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114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2014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福州联华林德气体有限公司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位于福建省福州市福清市音西街道福俱路100号的福州联华林德气体有限公司氮气和液氮的生产以及大宗气体(氧气、氩气、二氧化碳及氢气)的客户供应所涉及生产系统、附属生产系统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能源管理活动。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福建省福州市福清市音西街道福俱路100号（经营场所：福州市福清市融侨开发区光电园二期）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福建省福州市福清市音西街道福俱路100号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Co.Ltd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18845" cy="248920"/>
                  <wp:effectExtent l="0" t="0" r="0" b="444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福州联华林德气体有限公司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福建省福州市福清市音西街道福俱路100号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经营场所：福州市福清市融侨开发区光电园二期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114-2014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</w:rPr>
        <w:t>能源管理体系 纯碱、焦化、橡塑制品、制药等化工企业认证要求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95"/>
        <w:gridCol w:w="3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9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77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sz w:val="21"/>
                <w:szCs w:val="21"/>
                <w:highlight w:val="none"/>
              </w:rPr>
              <w:t>位于福建省福州市福清市音西街道福俱路100号的福州联华林德气体有限公司氮气和液氮的生产以及大宗气体(氧气、氩气、二氧化碳及氢气)的客户供应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安全生产部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[空压机及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制氮系统配套设备、配电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、产品罐区、循环水场等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]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：财务部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u w:val="none"/>
                <w:lang w:val="en-US" w:eastAsia="zh-CN"/>
              </w:rPr>
              <w:t>氮气</w:t>
            </w:r>
            <w:r>
              <w:rPr>
                <w:rFonts w:hint="eastAsia"/>
                <w:b/>
                <w:bCs/>
                <w:sz w:val="20"/>
              </w:rPr>
              <w:t>产量：127869782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 xml:space="preserve"> Nm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 xml:space="preserve"> </w:t>
            </w:r>
          </w:p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7603</w:t>
            </w:r>
            <w:r>
              <w:rPr>
                <w:rFonts w:hint="eastAsia"/>
                <w:b/>
                <w:bCs/>
                <w:sz w:val="20"/>
              </w:rPr>
              <w:t>万元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其中氮气产值7161万元；</w:t>
            </w:r>
            <w:r>
              <w:rPr>
                <w:rFonts w:hint="eastAsia"/>
                <w:b w:val="0"/>
                <w:bCs w:val="0"/>
                <w:sz w:val="20"/>
                <w:szCs w:val="22"/>
              </w:rPr>
              <w:t>其他（氧气、氩气、二氧化碳、氢气）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产值442万元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</w:rPr>
              <w:t>3840</w:t>
            </w:r>
            <w:r>
              <w:rPr>
                <w:rFonts w:hint="eastAsia"/>
                <w:b w:val="0"/>
                <w:bCs w:val="0"/>
                <w:sz w:val="20"/>
                <w:szCs w:val="22"/>
              </w:rPr>
              <w:t>吨标准煤</w:t>
            </w: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rPr>
                <w:rFonts w:hint="default" w:eastAsia="宋体"/>
                <w:b/>
                <w:bCs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产品（氮气）综合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0.030kgce/Nm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highlight w:val="none"/>
                <w:lang w:val="en-US" w:eastAsia="zh-CN"/>
              </w:rPr>
              <w:t>单位制氮电耗：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  <w:t>0.23</w:t>
            </w:r>
            <w:r>
              <w:rPr>
                <w:rFonts w:hint="eastAsia"/>
                <w:b w:val="0"/>
                <w:bCs/>
                <w:sz w:val="20"/>
                <w:szCs w:val="22"/>
                <w:highlight w:val="none"/>
                <w:lang w:val="en-US" w:eastAsia="zh-CN"/>
              </w:rPr>
              <w:t>kw.h/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highlight w:val="none"/>
                <w:u w:val="none"/>
                <w:lang w:val="en-US" w:eastAsia="zh-CN"/>
              </w:rPr>
              <w:t>Nm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highlight w:val="none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单位产值综合能耗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highlight w:val="none"/>
                <w:u w:val="none"/>
                <w:lang w:val="en-US" w:eastAsia="zh-CN"/>
              </w:rPr>
              <w:t>：505.06 kgce/万元</w:t>
            </w: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政府未下达指标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</w:t>
            </w:r>
            <w:bookmarkStart w:id="23" w:name="_GoBack"/>
            <w:bookmarkEnd w:id="23"/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9E87B25"/>
    <w:rsid w:val="132F07B0"/>
    <w:rsid w:val="31455FE3"/>
    <w:rsid w:val="32A27428"/>
    <w:rsid w:val="32D640AE"/>
    <w:rsid w:val="55B415DA"/>
    <w:rsid w:val="6BFE2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9</TotalTime>
  <ScaleCrop>false</ScaleCrop>
  <LinksUpToDate>false</LinksUpToDate>
  <CharactersWithSpaces>2193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2022-12-07T08:28:45Z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