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851"/>
        <w:gridCol w:w="948"/>
        <w:gridCol w:w="1151"/>
        <w:gridCol w:w="351"/>
        <w:gridCol w:w="709"/>
        <w:gridCol w:w="295"/>
        <w:gridCol w:w="635"/>
        <w:gridCol w:w="630"/>
        <w:gridCol w:w="90"/>
        <w:gridCol w:w="650"/>
        <w:gridCol w:w="130"/>
        <w:gridCol w:w="508"/>
        <w:gridCol w:w="352"/>
        <w:gridCol w:w="418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福州联华林德气体有限公司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福建省福州市福清市音西街道福俱路100号（经营场所：福州市福清市融侨开发区光电园二期）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福建省福州市福清市音西街道福俱路100号（经营场所：福州市福清市融侨开发区光电园二期）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陈安然</w:t>
            </w:r>
            <w:bookmarkEnd w:id="3"/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15659105859</w:t>
            </w:r>
            <w:bookmarkEnd w:id="4"/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CN1252@linde.com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聂东桥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gridSpan w:val="3"/>
            <w:vAlign w:val="center"/>
          </w:tcPr>
          <w:p>
            <w:bookmarkStart w:id="7" w:name="管代电话"/>
            <w:r>
              <w:rPr>
                <w:sz w:val="21"/>
                <w:szCs w:val="21"/>
              </w:rPr>
              <w:t>15880335211</w:t>
            </w:r>
            <w:bookmarkEnd w:id="7"/>
          </w:p>
        </w:tc>
        <w:tc>
          <w:tcPr>
            <w:tcW w:w="7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7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1254-2022-EnMS</w:t>
            </w:r>
            <w:bookmarkEnd w:id="8"/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70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68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68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4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680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680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48" w:type="dxa"/>
            <w:gridSpan w:val="12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  <w:highlight w:val="none"/>
              </w:rPr>
              <w:t>位于福建省福州市福清市音西街道福俱路100号的福州联华林德气体有限公司氮气和液氮的生产以及大宗气体(氧气、氩气、二氧化碳及氢气)的客户供应所涉及生产系统、附属生产系统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sz w:val="21"/>
                <w:szCs w:val="21"/>
                <w:highlight w:val="none"/>
              </w:rPr>
              <w:t>能源管理活动。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962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114-2014 能源管理体系 纯碱、焦化、橡塑制品、制药等化工企业认证要求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2022年12月05日 上午至2022年12月05日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68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107950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3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4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3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28"/>
        <w:gridCol w:w="1127"/>
        <w:gridCol w:w="3663"/>
        <w:gridCol w:w="169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第1天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27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304319446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127" w:type="dxa"/>
            <w:shd w:val="clear" w:color="auto" w:fill="auto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63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体系策划过程、管理承诺相关过程、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91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12-5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8:30-9:30</w:t>
            </w:r>
          </w:p>
        </w:tc>
        <w:tc>
          <w:tcPr>
            <w:tcW w:w="11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生产过程控制、现场管理、主要用能设备（空压站）、变配电站、公用工程等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EnMS: 8.1/9.1.1 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9:30-16:00</w:t>
            </w:r>
          </w:p>
        </w:tc>
        <w:tc>
          <w:tcPr>
            <w:tcW w:w="11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安全生产部（关注倒班）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部门职责权限、目标指标、能源评审、能源绩效参数、能源基准、能源数据收集的策划、运行控制、设计与研发、能源采购及用能设备采购、法律法规及其它要求的收集及合规性评价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EnMS:5.3/6.2/6.3/6.4/6.5/6.6/8.1/8.2/8.3/4.2/9.1.2/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11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安全生产部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人员能力、意识、信息交流、文件管理控制、内部审核实施及不符合纠正和纠正措施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EnMS:7.2/7.3/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7.4/7.5/9.2/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10.1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112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663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资金支持情况、不符合纠正及纠正措施</w:t>
            </w: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15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B（远程微信、QQ等）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12-5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27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管代、各部门</w:t>
            </w:r>
          </w:p>
        </w:tc>
        <w:tc>
          <w:tcPr>
            <w:tcW w:w="3663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304319446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12-5</w:t>
            </w:r>
          </w:p>
        </w:tc>
        <w:tc>
          <w:tcPr>
            <w:tcW w:w="142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3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91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每天12:00-12:30午餐时间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0E1C07"/>
    <w:rsid w:val="53296D40"/>
    <w:rsid w:val="5B7B7D19"/>
    <w:rsid w:val="5C7704A2"/>
    <w:rsid w:val="79610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1362</Words>
  <Characters>1876</Characters>
  <Lines>37</Lines>
  <Paragraphs>10</Paragraphs>
  <TotalTime>0</TotalTime>
  <ScaleCrop>false</ScaleCrop>
  <LinksUpToDate>false</LinksUpToDate>
  <CharactersWithSpaces>1926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2022-12-04T08:08:53Z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