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5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004"/>
        <w:gridCol w:w="1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过程与活动、</w:t>
            </w:r>
          </w:p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涉及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条款</w:t>
            </w: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受审核部门：</w:t>
            </w:r>
            <w:bookmarkStart w:id="0" w:name="组织名称"/>
            <w:r>
              <w:rPr>
                <w:rFonts w:hint="eastAsia"/>
                <w:color w:val="000000"/>
                <w:sz w:val="24"/>
                <w:szCs w:val="24"/>
              </w:rPr>
              <w:t>福州联华林德气体有限公司</w:t>
            </w:r>
            <w:bookmarkEnd w:id="0"/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领导层、生产安全部</w:t>
            </w:r>
            <w:r>
              <w:rPr>
                <w:rFonts w:hint="eastAsia"/>
                <w:color w:val="000000"/>
                <w:sz w:val="24"/>
                <w:szCs w:val="24"/>
              </w:rPr>
              <w:t xml:space="preserve">    </w:t>
            </w:r>
            <w:r>
              <w:rPr>
                <w:rFonts w:hint="eastAsia"/>
                <w:color w:val="000000"/>
                <w:sz w:val="24"/>
                <w:szCs w:val="24"/>
                <w:highlight w:val="none"/>
              </w:rPr>
              <w:t>陪同人员：</w:t>
            </w:r>
            <w:r>
              <w:rPr>
                <w:rFonts w:hint="eastAsia"/>
                <w:color w:val="000000"/>
                <w:sz w:val="24"/>
                <w:szCs w:val="24"/>
                <w:highlight w:val="none"/>
                <w:lang w:val="en-US" w:eastAsia="zh-CN"/>
              </w:rPr>
              <w:t>王瑜</w:t>
            </w:r>
            <w:bookmarkStart w:id="5" w:name="_GoBack"/>
            <w:bookmarkEnd w:id="5"/>
          </w:p>
        </w:tc>
        <w:tc>
          <w:tcPr>
            <w:tcW w:w="1585" w:type="dxa"/>
            <w:vMerge w:val="restar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960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="120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审核员：</w:t>
            </w:r>
            <w:bookmarkStart w:id="1" w:name="审核组成员不含组长"/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 xml:space="preserve">李丽英  </w:t>
            </w:r>
            <w:r>
              <w:rPr>
                <w:rFonts w:hint="eastAsia"/>
                <w:color w:val="000000"/>
                <w:sz w:val="24"/>
                <w:szCs w:val="24"/>
              </w:rPr>
              <w:t>范玲玲</w:t>
            </w:r>
            <w:bookmarkEnd w:id="1"/>
            <w:r>
              <w:rPr>
                <w:rFonts w:hint="eastAsia"/>
                <w:color w:val="000000"/>
                <w:sz w:val="24"/>
                <w:szCs w:val="24"/>
              </w:rPr>
              <w:t xml:space="preserve"> 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【远程审核】（微信视频、文件传输）</w:t>
            </w:r>
            <w:r>
              <w:rPr>
                <w:rFonts w:hint="eastAsia"/>
                <w:color w:val="000000"/>
                <w:sz w:val="24"/>
                <w:szCs w:val="24"/>
              </w:rPr>
              <w:t xml:space="preserve">  </w:t>
            </w:r>
          </w:p>
          <w:p>
            <w:pPr>
              <w:spacing w:before="120"/>
              <w:rPr>
                <w:color w:val="000000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审核时间：</w:t>
            </w:r>
            <w:bookmarkStart w:id="2" w:name="审核日期"/>
            <w:r>
              <w:rPr>
                <w:color w:val="000000"/>
              </w:rPr>
              <w:t>2022年12月0</w:t>
            </w:r>
            <w:r>
              <w:rPr>
                <w:rFonts w:hint="eastAsia"/>
                <w:color w:val="000000"/>
                <w:lang w:val="en-US" w:eastAsia="zh-CN"/>
              </w:rPr>
              <w:t>4</w:t>
            </w:r>
            <w:r>
              <w:rPr>
                <w:color w:val="000000"/>
              </w:rPr>
              <w:t>日 上午至2022年12月0</w:t>
            </w:r>
            <w:r>
              <w:rPr>
                <w:rFonts w:hint="eastAsia"/>
                <w:color w:val="000000"/>
                <w:lang w:val="en-US" w:eastAsia="zh-CN"/>
              </w:rPr>
              <w:t>4</w:t>
            </w:r>
            <w:r>
              <w:rPr>
                <w:color w:val="000000"/>
              </w:rPr>
              <w:t>日 上午</w:t>
            </w:r>
            <w:bookmarkEnd w:id="2"/>
          </w:p>
        </w:tc>
        <w:tc>
          <w:tcPr>
            <w:tcW w:w="1585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60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960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审核条款：略</w:t>
            </w:r>
          </w:p>
        </w:tc>
        <w:tc>
          <w:tcPr>
            <w:tcW w:w="1585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合同基本信息确认</w:t>
            </w:r>
            <w:r>
              <w:rPr>
                <w:color w:val="000000"/>
                <w:szCs w:val="18"/>
                <w:shd w:val="pct10" w:color="auto" w:fill="FFFFFF"/>
              </w:rPr>
              <w:t>: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</w:rPr>
              <w:t>核对资质证书（营业执照、生产（安全）许可证、行业许可证、3C证书等</w:t>
            </w:r>
            <w:r>
              <w:rPr>
                <w:rFonts w:hint="eastAsia"/>
                <w:color w:val="000000"/>
                <w:szCs w:val="18"/>
              </w:rPr>
              <w:t>）</w:t>
            </w:r>
            <w:r>
              <w:rPr>
                <w:rFonts w:hint="eastAsia"/>
                <w:b/>
                <w:bCs/>
                <w:color w:val="000000"/>
              </w:rPr>
              <w:t>原件</w:t>
            </w:r>
            <w:r>
              <w:rPr>
                <w:rFonts w:hint="eastAsia"/>
                <w:color w:val="000000"/>
              </w:rPr>
              <w:t>和复印件</w:t>
            </w:r>
            <w:r>
              <w:rPr>
                <w:color w:val="000000"/>
              </w:rPr>
              <w:t>/</w:t>
            </w:r>
            <w:r>
              <w:rPr>
                <w:rFonts w:hint="eastAsia"/>
                <w:color w:val="000000"/>
              </w:rPr>
              <w:t>扫描件的一致性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现场检查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《营业执照》</w:t>
            </w:r>
            <w:r>
              <w:rPr>
                <w:rFonts w:hint="eastAsia"/>
                <w:color w:val="000000"/>
                <w:szCs w:val="21"/>
              </w:rPr>
              <w:t>——：□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正本 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21"/>
              </w:rPr>
              <w:t>副本； 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原件 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扫描</w:t>
            </w:r>
            <w:r>
              <w:rPr>
                <w:rFonts w:hint="eastAsia"/>
                <w:color w:val="000000"/>
                <w:szCs w:val="21"/>
              </w:rPr>
              <w:t>件</w:t>
            </w:r>
          </w:p>
          <w:p>
            <w:pPr>
              <w:spacing w:line="440" w:lineRule="exact"/>
              <w:ind w:firstLine="420" w:firstLineChars="200"/>
              <w:rPr>
                <w:color w:val="000000"/>
                <w:szCs w:val="21"/>
                <w:u w:val="single"/>
              </w:rPr>
            </w:pPr>
            <w:r>
              <w:rPr>
                <w:rFonts w:hint="eastAsia"/>
                <w:color w:val="000000"/>
                <w:szCs w:val="21"/>
              </w:rPr>
              <w:t>编号</w:t>
            </w:r>
            <w:r>
              <w:rPr>
                <w:rFonts w:hint="eastAsia"/>
                <w:color w:val="000000"/>
                <w:szCs w:val="21"/>
                <w:u w:val="single"/>
              </w:rPr>
              <w:t>：</w:t>
            </w:r>
            <w:r>
              <w:rPr>
                <w:rFonts w:hint="eastAsia"/>
                <w:color w:val="000000"/>
                <w:szCs w:val="21"/>
                <w:u w:val="single"/>
                <w:lang w:val="en-US" w:eastAsia="zh-CN"/>
              </w:rPr>
              <w:t>91350181MA345G8B1C</w:t>
            </w:r>
            <w:r>
              <w:rPr>
                <w:rFonts w:hint="eastAsia"/>
                <w:color w:val="000000"/>
                <w:szCs w:val="21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>； 有效期：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2016年1月11日至2066年1月10日</w:t>
            </w:r>
            <w:r>
              <w:rPr>
                <w:rFonts w:hint="eastAsia"/>
                <w:color w:val="000000"/>
                <w:szCs w:val="21"/>
              </w:rPr>
              <w:t>；</w:t>
            </w:r>
          </w:p>
          <w:p>
            <w:pPr>
              <w:spacing w:line="440" w:lineRule="exact"/>
              <w:ind w:firstLine="420" w:firstLineChars="20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经营范围的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相关描述</w:t>
            </w:r>
            <w:r>
              <w:rPr>
                <w:rFonts w:hint="eastAsia"/>
                <w:color w:val="000000"/>
                <w:szCs w:val="21"/>
              </w:rPr>
              <w:t>：许可项目:危险化学品生产;危险化学品经营(依法须经批准的项目，经相关部门批准后方可开展经营活动，具体经营项目以相关部门批准文件或许可证件为准)</w:t>
            </w:r>
          </w:p>
          <w:p>
            <w:pPr>
              <w:spacing w:line="440" w:lineRule="exact"/>
              <w:ind w:firstLine="420" w:firstLineChars="20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一般项目:技术服务、技术开发、技术咨询、技术交流、技术转让、技术推广;普通机械设备安装服务;货物进出口:技术进出口;机械设备租赁;气体、液体分离及纯净设备销售;专用化学产品销售(不含危险化学品):化工产品销售(不含许可类化工产品)(除依法须经批准的项目外，凭营业执照依法自主开展经营活动)。</w:t>
            </w:r>
          </w:p>
          <w:p>
            <w:pPr>
              <w:spacing w:line="440" w:lineRule="exact"/>
              <w:ind w:firstLine="420" w:firstLineChars="20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(不得在《外商投资准人负面清单》禁止外商投资的领域开展经营活动)。；</w:t>
            </w:r>
          </w:p>
          <w:p>
            <w:pPr>
              <w:spacing w:line="440" w:lineRule="exact"/>
              <w:ind w:firstLine="420" w:firstLineChars="200"/>
              <w:rPr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000000"/>
              </w:rPr>
              <w:t>认证申请范围：</w:t>
            </w:r>
            <w:bookmarkStart w:id="3" w:name="审核范围"/>
            <w:r>
              <w:rPr>
                <w:sz w:val="21"/>
                <w:szCs w:val="21"/>
                <w:highlight w:val="none"/>
              </w:rPr>
              <w:t>位于福建省福州市福清市音西街道福俱路100号的福州联华林德气体有限公司的氮气和液氮的生产以及大宗气体(氧气、氩气、二氧化碳及氢气)的客户供应的生产及相关管理活动生产系统、附属生产系统所涉及的能源管理活动。</w:t>
            </w:r>
            <w:bookmarkEnd w:id="3"/>
          </w:p>
          <w:p>
            <w:pPr>
              <w:spacing w:line="440" w:lineRule="exact"/>
              <w:ind w:firstLine="420" w:firstLineChars="200"/>
              <w:rPr>
                <w:rFonts w:hint="eastAsia" w:eastAsia="宋体"/>
                <w:color w:val="000000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变更为</w:t>
            </w:r>
            <w:r>
              <w:rPr>
                <w:rFonts w:hint="eastAsia"/>
                <w:color w:val="000000"/>
                <w:szCs w:val="21"/>
                <w:lang w:eastAsia="zh-CN"/>
              </w:rPr>
              <w:t>：</w:t>
            </w:r>
            <w:r>
              <w:rPr>
                <w:sz w:val="21"/>
                <w:szCs w:val="21"/>
                <w:highlight w:val="none"/>
              </w:rPr>
              <w:t>位于福建省福州市福清市音西街道福俱路100号的福州联华林德气体有限公司的氮气和液氮的生产以及大宗气体(氧气、氩气、二氧化碳及氢气)的客户供应的生产系统、附属生产系统所涉及的能源管理活动。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2548890" cy="1572895"/>
                  <wp:effectExtent l="0" t="0" r="3810" b="1905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57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drawing>
                <wp:inline distT="0" distB="0" distL="114300" distR="114300">
                  <wp:extent cx="1651000" cy="1487170"/>
                  <wp:effectExtent l="0" t="0" r="0" b="11430"/>
                  <wp:docPr id="1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148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证件有效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证件失效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范围合规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超出范围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</w:rPr>
              <w:t>同上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现场检查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《</w:t>
            </w:r>
            <w:r>
              <w:rPr>
                <w:rFonts w:hint="eastAsia"/>
                <w:b/>
                <w:bCs/>
                <w:color w:val="000000"/>
                <w:szCs w:val="21"/>
                <w:lang w:val="en-US" w:eastAsia="zh-CN"/>
              </w:rPr>
              <w:t>安全生产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许可证》</w:t>
            </w:r>
            <w:r>
              <w:rPr>
                <w:rFonts w:hint="eastAsia"/>
                <w:color w:val="000000"/>
                <w:szCs w:val="21"/>
              </w:rPr>
              <w:t>——：□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正本 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21"/>
              </w:rPr>
              <w:t>副本； 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原件 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扫描</w:t>
            </w:r>
            <w:r>
              <w:rPr>
                <w:rFonts w:hint="eastAsia"/>
                <w:color w:val="000000"/>
                <w:szCs w:val="21"/>
              </w:rPr>
              <w:t>件</w:t>
            </w:r>
          </w:p>
          <w:p>
            <w:pPr>
              <w:spacing w:line="440" w:lineRule="exact"/>
              <w:ind w:firstLine="420" w:firstLineChars="200"/>
              <w:rPr>
                <w:color w:val="000000"/>
                <w:szCs w:val="21"/>
                <w:u w:val="single"/>
              </w:rPr>
            </w:pPr>
            <w:r>
              <w:rPr>
                <w:rFonts w:hint="eastAsia"/>
                <w:color w:val="000000"/>
                <w:szCs w:val="21"/>
              </w:rPr>
              <w:t>编号</w:t>
            </w:r>
            <w:r>
              <w:rPr>
                <w:rFonts w:hint="eastAsia"/>
                <w:color w:val="000000"/>
                <w:szCs w:val="21"/>
                <w:u w:val="single"/>
              </w:rPr>
              <w:t>：</w:t>
            </w:r>
            <w:r>
              <w:rPr>
                <w:rFonts w:hint="eastAsia"/>
                <w:color w:val="000000"/>
                <w:szCs w:val="21"/>
                <w:u w:val="single"/>
                <w:lang w:val="en-US" w:eastAsia="zh-CN"/>
              </w:rPr>
              <w:t>WH安许证字{2018}000014换号</w:t>
            </w:r>
            <w:r>
              <w:rPr>
                <w:rFonts w:hint="eastAsia"/>
                <w:color w:val="000000"/>
                <w:szCs w:val="21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>； 有效期：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2024年9月11日</w:t>
            </w:r>
            <w:r>
              <w:rPr>
                <w:rFonts w:hint="eastAsia"/>
                <w:color w:val="000000"/>
                <w:szCs w:val="21"/>
              </w:rPr>
              <w:t>；</w:t>
            </w:r>
          </w:p>
          <w:p>
            <w:pPr>
              <w:spacing w:line="440" w:lineRule="exac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</w:rPr>
              <w:t>经营范围的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相关描述</w:t>
            </w:r>
            <w:r>
              <w:rPr>
                <w:rFonts w:hint="eastAsia"/>
                <w:color w:val="000000"/>
                <w:szCs w:val="21"/>
              </w:rPr>
              <w:t>：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生产场所：</w:t>
            </w:r>
            <w:r>
              <w:rPr>
                <w:sz w:val="21"/>
                <w:szCs w:val="21"/>
              </w:rPr>
              <w:t>福州市福清市融侨开发区光电园二期</w:t>
            </w:r>
            <w:r>
              <w:rPr>
                <w:rFonts w:hint="eastAsia"/>
                <w:sz w:val="21"/>
                <w:szCs w:val="21"/>
                <w:lang w:eastAsia="zh-CN"/>
              </w:rPr>
              <w:t>，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氮气178000Nm3/h生产</w:t>
            </w:r>
          </w:p>
          <w:p>
            <w:pPr>
              <w:spacing w:line="440" w:lineRule="exact"/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28575</wp:posOffset>
                  </wp:positionV>
                  <wp:extent cx="2540635" cy="1480185"/>
                  <wp:effectExtent l="0" t="0" r="12065" b="5715"/>
                  <wp:wrapSquare wrapText="bothSides"/>
                  <wp:docPr id="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63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440" w:lineRule="exact"/>
            </w:pPr>
          </w:p>
          <w:p>
            <w:pPr>
              <w:spacing w:line="440" w:lineRule="exact"/>
            </w:pPr>
          </w:p>
          <w:p>
            <w:pPr>
              <w:spacing w:line="440" w:lineRule="exact"/>
            </w:pPr>
          </w:p>
          <w:p>
            <w:pPr>
              <w:spacing w:line="440" w:lineRule="exact"/>
            </w:pPr>
          </w:p>
          <w:p>
            <w:pPr>
              <w:spacing w:line="440" w:lineRule="exact"/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65405</wp:posOffset>
                  </wp:positionV>
                  <wp:extent cx="3060065" cy="1803400"/>
                  <wp:effectExtent l="0" t="0" r="635" b="0"/>
                  <wp:wrapSquare wrapText="bothSides"/>
                  <wp:docPr id="1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65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-2590800</wp:posOffset>
                  </wp:positionH>
                  <wp:positionV relativeFrom="paragraph">
                    <wp:posOffset>92075</wp:posOffset>
                  </wp:positionV>
                  <wp:extent cx="2711450" cy="1778635"/>
                  <wp:effectExtent l="0" t="0" r="6350" b="12065"/>
                  <wp:wrapSquare wrapText="bothSides"/>
                  <wp:docPr id="1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450" cy="177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440" w:lineRule="exact"/>
            </w:pPr>
          </w:p>
          <w:p>
            <w:pPr>
              <w:spacing w:line="440" w:lineRule="exact"/>
            </w:pPr>
          </w:p>
          <w:p>
            <w:pPr>
              <w:spacing w:line="440" w:lineRule="exact"/>
            </w:pPr>
          </w:p>
          <w:p>
            <w:pPr>
              <w:spacing w:line="440" w:lineRule="exact"/>
            </w:pPr>
          </w:p>
          <w:p>
            <w:pPr>
              <w:spacing w:line="440" w:lineRule="exact"/>
            </w:pP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证件有效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证件失效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范围合规</w:t>
            </w:r>
          </w:p>
          <w:p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超出范围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</w:rPr>
              <w:t>确定审核范围的合理性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注册地址：</w:t>
            </w:r>
            <w:bookmarkStart w:id="4" w:name="注册地址"/>
            <w:r>
              <w:rPr>
                <w:sz w:val="21"/>
                <w:szCs w:val="21"/>
              </w:rPr>
              <w:t>福建省福州市福清市音西街道福俱路100号（经营场所：福州市福清市融侨开发区光电园二期）</w:t>
            </w:r>
            <w:bookmarkEnd w:id="4"/>
            <w:r>
              <w:rPr>
                <w:rFonts w:hint="eastAsia"/>
                <w:color w:val="000000"/>
              </w:rPr>
              <w:t>与《营业执照》和《</w:t>
            </w:r>
            <w:r>
              <w:rPr>
                <w:rFonts w:hint="eastAsia"/>
                <w:color w:val="000000"/>
                <w:lang w:val="en-US" w:eastAsia="zh-CN"/>
              </w:rPr>
              <w:t>安全生产</w:t>
            </w:r>
            <w:r>
              <w:rPr>
                <w:rFonts w:hint="eastAsia"/>
                <w:color w:val="000000"/>
              </w:rPr>
              <w:t>许可证》内容一致。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经营地址：</w:t>
            </w:r>
            <w:r>
              <w:rPr>
                <w:sz w:val="21"/>
                <w:szCs w:val="21"/>
              </w:rPr>
              <w:t>福建省福州市福清市音西街道福俱路100号（经营场所：福州市福清市融侨开发区光电园二期）</w:t>
            </w:r>
          </w:p>
          <w:p>
            <w:pPr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与生产或服务现场一致</w:t>
            </w:r>
          </w:p>
          <w:p>
            <w:pPr>
              <w:rPr>
                <w:rFonts w:hint="eastAsia"/>
                <w:color w:val="000000"/>
              </w:rPr>
            </w:pPr>
            <w:r>
              <w:drawing>
                <wp:inline distT="0" distB="0" distL="114300" distR="114300">
                  <wp:extent cx="2953385" cy="1981200"/>
                  <wp:effectExtent l="0" t="0" r="5715" b="0"/>
                  <wp:docPr id="2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38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2922270" cy="1943100"/>
                  <wp:effectExtent l="0" t="0" r="11430" b="0"/>
                  <wp:docPr id="2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  <w:p>
            <w:pPr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确定多现场（固定）的地址（适用时）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</w:rPr>
              <w:t>多现场的名称和具体位置：</w:t>
            </w:r>
            <w:r>
              <w:rPr>
                <w:rFonts w:hint="eastAsia"/>
                <w:color w:val="000000"/>
                <w:lang w:val="en-US" w:eastAsia="zh-CN"/>
              </w:rPr>
              <w:t>无</w:t>
            </w:r>
          </w:p>
          <w:p>
            <w:pPr>
              <w:rPr>
                <w:color w:val="000000"/>
                <w:szCs w:val="21"/>
                <w:u w:val="single"/>
              </w:rPr>
            </w:pPr>
            <w:r>
              <w:rPr>
                <w:rFonts w:hint="eastAsia"/>
                <w:color w:val="000000"/>
              </w:rPr>
              <w:t>现场1：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现场</w:t>
            </w:r>
            <w:r>
              <w:rPr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：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与申请时提供的《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多场所申报清单</w:t>
            </w:r>
            <w:r>
              <w:rPr>
                <w:rFonts w:hint="eastAsia"/>
                <w:color w:val="000000"/>
              </w:rPr>
              <w:t>》是否一致</w:t>
            </w:r>
          </w:p>
          <w:p>
            <w:pPr>
              <w:rPr>
                <w:color w:val="000000"/>
              </w:rPr>
            </w:pP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确定临时现场的地址（适用时）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</w:rPr>
              <w:t>临时现场的名称和具体位置：</w:t>
            </w:r>
            <w:r>
              <w:rPr>
                <w:rFonts w:hint="eastAsia"/>
                <w:color w:val="000000"/>
                <w:lang w:val="en-US" w:eastAsia="zh-CN"/>
              </w:rPr>
              <w:t>无</w:t>
            </w:r>
          </w:p>
          <w:p>
            <w:pPr>
              <w:rPr>
                <w:color w:val="000000"/>
                <w:szCs w:val="21"/>
                <w:u w:val="single"/>
              </w:rPr>
            </w:pPr>
            <w:r>
              <w:rPr>
                <w:rFonts w:hint="eastAsia"/>
                <w:color w:val="000000"/>
              </w:rPr>
              <w:t>现场1：</w:t>
            </w:r>
          </w:p>
          <w:p>
            <w:pPr>
              <w:rPr>
                <w:color w:val="000000"/>
                <w:szCs w:val="21"/>
                <w:u w:val="single"/>
              </w:rPr>
            </w:pPr>
            <w:r>
              <w:rPr>
                <w:rFonts w:hint="eastAsia"/>
                <w:color w:val="000000"/>
              </w:rPr>
              <w:t>现场</w:t>
            </w:r>
            <w:r>
              <w:rPr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：</w:t>
            </w:r>
          </w:p>
          <w:p>
            <w:pPr>
              <w:rPr>
                <w:color w:val="000000"/>
                <w:szCs w:val="21"/>
                <w:u w:val="single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确定建设单位的在建项目清单（仅限建工QMS）与申请时提供的《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企业在建项目清单</w:t>
            </w:r>
            <w:r>
              <w:rPr>
                <w:rFonts w:hint="eastAsia"/>
                <w:color w:val="000000"/>
              </w:rPr>
              <w:t>》是否一致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</w:rPr>
              <w:t>对</w:t>
            </w:r>
            <w:r>
              <w:t>多场所</w:t>
            </w:r>
            <w:r>
              <w:rPr>
                <w:rFonts w:hint="eastAsia"/>
              </w:rPr>
              <w:t>/临时场所</w:t>
            </w:r>
            <w:r>
              <w:t>建立的控制水平（</w:t>
            </w:r>
            <w:r>
              <w:rPr>
                <w:rFonts w:hint="eastAsia"/>
              </w:rPr>
              <w:t>适用</w:t>
            </w:r>
            <w:r>
              <w:t>时）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  <w:r>
              <w:rPr>
                <w:rFonts w:hint="eastAsia"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与组织总部在同一管理体系下运行     </w:t>
            </w:r>
          </w:p>
          <w:p>
            <w:pPr>
              <w:rPr>
                <w:color w:val="000000"/>
              </w:rPr>
            </w:pPr>
            <w:r>
              <w:rPr>
                <w:rFonts w:hint="eastAsia"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组织总部有权对</w:t>
            </w:r>
            <w:r>
              <w:t>多场所</w:t>
            </w:r>
            <w:r>
              <w:rPr>
                <w:rFonts w:hint="eastAsia"/>
              </w:rPr>
              <w:t>/临时场所进行监督管理</w:t>
            </w:r>
          </w:p>
          <w:p>
            <w:pPr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按照统一安排实施内部审核（不强制同一时段）</w:t>
            </w:r>
          </w:p>
          <w:p>
            <w:pPr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与组织总部一同进行管理评审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确定生产/服务流程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rFonts w:hint="eastAsia"/>
                <w:color w:val="000000"/>
              </w:rPr>
            </w:pPr>
            <w:r>
              <w:rPr>
                <w:rFonts w:hint="eastAsia"/>
              </w:rPr>
              <w:t>空分制氮工艺流程示意图</w:t>
            </w:r>
            <w:r>
              <w:rPr>
                <w:rFonts w:hint="eastAsia"/>
                <w:color w:val="000000"/>
              </w:rPr>
              <w:t>：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drawing>
                <wp:inline distT="0" distB="0" distL="0" distR="0">
                  <wp:extent cx="4381500" cy="3559175"/>
                  <wp:effectExtent l="0" t="0" r="0" b="9525"/>
                  <wp:docPr id="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6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355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</w:rPr>
              <w:t>服务</w:t>
            </w:r>
            <w:r>
              <w:rPr>
                <w:rFonts w:hint="eastAsia"/>
                <w:color w:val="000000"/>
                <w:lang w:val="en-US" w:eastAsia="zh-CN"/>
              </w:rPr>
              <w:t>流程图：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drawing>
                <wp:inline distT="0" distB="0" distL="0" distR="0">
                  <wp:extent cx="4451350" cy="955040"/>
                  <wp:effectExtent l="0" t="0" r="6350" b="10160"/>
                  <wp:docPr id="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350" cy="95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730" w:firstLineChars="1300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液化氮气供应</w:t>
            </w:r>
            <w:r>
              <w:t>工艺流程示意图</w:t>
            </w:r>
            <w:r>
              <w:rPr>
                <w:rFonts w:hint="eastAsia"/>
                <w:lang w:val="en-US" w:eastAsia="zh-CN"/>
              </w:rPr>
              <w:t xml:space="preserve">     </w:t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drawing>
                <wp:inline distT="0" distB="0" distL="0" distR="0">
                  <wp:extent cx="5274310" cy="458470"/>
                  <wp:effectExtent l="0" t="0" r="8890" b="11430"/>
                  <wp:docPr id="1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-26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458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730" w:firstLineChars="1300"/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</w:rPr>
              <w:t>液化氩气供应</w:t>
            </w:r>
            <w:r>
              <w:t>工艺流程示意图</w:t>
            </w:r>
          </w:p>
          <w:p/>
          <w:p>
            <w:r>
              <w:rPr>
                <w:rFonts w:hint="eastAsia"/>
              </w:rPr>
              <w:drawing>
                <wp:inline distT="0" distB="0" distL="0" distR="0">
                  <wp:extent cx="5274310" cy="417195"/>
                  <wp:effectExtent l="0" t="0" r="8890" b="1905"/>
                  <wp:docPr id="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-26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417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rPr>
                <w:rFonts w:hint="eastAsia"/>
                <w:lang w:val="en-US" w:eastAsia="zh-CN"/>
              </w:rPr>
              <w:t xml:space="preserve">                            </w:t>
            </w:r>
            <w:r>
              <w:rPr>
                <w:rFonts w:hint="eastAsia"/>
              </w:rPr>
              <w:t>液化氧气供应</w:t>
            </w:r>
            <w:r>
              <w:t>工艺流程示意图</w:t>
            </w:r>
          </w:p>
          <w:p/>
          <w:p>
            <w:r>
              <w:rPr>
                <w:rFonts w:hint="eastAsia"/>
              </w:rPr>
              <w:drawing>
                <wp:inline distT="0" distB="0" distL="0" distR="0">
                  <wp:extent cx="5274310" cy="394970"/>
                  <wp:effectExtent l="0" t="0" r="8890" b="11430"/>
                  <wp:docPr id="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-26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rPr>
                <w:rFonts w:hint="eastAsia"/>
                <w:lang w:val="en-US" w:eastAsia="zh-CN"/>
              </w:rPr>
              <w:t xml:space="preserve">                            </w:t>
            </w:r>
            <w:r>
              <w:rPr>
                <w:rFonts w:hint="eastAsia"/>
              </w:rPr>
              <w:t>液化二氧化碳供应</w:t>
            </w:r>
            <w:r>
              <w:t>工艺流程示意图</w:t>
            </w:r>
          </w:p>
          <w:p/>
          <w:p>
            <w:r>
              <w:rPr>
                <w:rFonts w:hint="eastAsia"/>
                <w:lang w:val="en-US" w:eastAsia="zh-CN"/>
              </w:rPr>
              <w:t xml:space="preserve">  </w:t>
            </w:r>
            <w:r>
              <w:drawing>
                <wp:inline distT="0" distB="0" distL="0" distR="0">
                  <wp:extent cx="4949825" cy="440690"/>
                  <wp:effectExtent l="0" t="0" r="3175" b="3810"/>
                  <wp:docPr id="7" name="图片 10" descr="C:\Documents and Settings\Administrator\Application Data\Tencent\Users\32357907\QQ\WinTemp\RichOle\37[MZ~WRLES_Y]SO[G4BHY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0" descr="C:\Documents and Settings\Administrator\Application Data\Tencent\Users\32357907\QQ\WinTemp\RichOle\37[MZ~WRLES_Y]SO[G4BHY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9825" cy="440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              </w:t>
            </w:r>
            <w:r>
              <w:rPr>
                <w:rFonts w:hint="eastAsia"/>
              </w:rPr>
              <w:t>长管拖车氢气气供应工艺工艺流程图</w:t>
            </w:r>
          </w:p>
          <w:p>
            <w:pPr>
              <w:rPr>
                <w:rFonts w:hint="default"/>
                <w:lang w:val="en-US" w:eastAsia="zh-CN"/>
              </w:rPr>
            </w:pP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3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18"/>
              </w:rPr>
              <w:t>确定有效的员工人数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Cs w:val="21"/>
                <w:highlight w:val="none"/>
              </w:rPr>
            </w:pPr>
            <w:r>
              <w:rPr>
                <w:rFonts w:hint="eastAsia"/>
                <w:color w:val="000000"/>
                <w:szCs w:val="21"/>
              </w:rPr>
              <w:t>认证范围内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能源</w:t>
            </w:r>
            <w:r>
              <w:rPr>
                <w:rFonts w:hint="eastAsia"/>
                <w:color w:val="000000"/>
                <w:szCs w:val="21"/>
              </w:rPr>
              <w:t>管理体系覆盖的人数</w:t>
            </w:r>
            <w:r>
              <w:rPr>
                <w:rFonts w:hint="eastAsia"/>
                <w:color w:val="000000"/>
                <w:szCs w:val="21"/>
                <w:highlight w:val="none"/>
                <w:lang w:val="en-US" w:eastAsia="zh-CN"/>
              </w:rPr>
              <w:t>10人</w:t>
            </w:r>
            <w:r>
              <w:rPr>
                <w:rFonts w:hint="eastAsia"/>
                <w:color w:val="000000"/>
                <w:szCs w:val="21"/>
                <w:highlight w:val="none"/>
              </w:rPr>
              <w:t>（总计人</w:t>
            </w:r>
            <w:r>
              <w:rPr>
                <w:rFonts w:hint="eastAsia"/>
                <w:color w:val="000000"/>
                <w:szCs w:val="21"/>
                <w:highlight w:val="none"/>
                <w:lang w:val="en-US" w:eastAsia="zh-CN"/>
              </w:rPr>
              <w:t>17人</w:t>
            </w:r>
            <w:r>
              <w:rPr>
                <w:rFonts w:hint="eastAsia"/>
                <w:color w:val="000000"/>
                <w:szCs w:val="21"/>
                <w:highlight w:val="none"/>
              </w:rPr>
              <w:t>）　</w:t>
            </w:r>
          </w:p>
          <w:p>
            <w:pPr>
              <w:rPr>
                <w:color w:val="000000"/>
                <w:szCs w:val="18"/>
                <w:highlight w:val="none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  <w:highlight w:val="none"/>
              </w:rPr>
              <w:t>管理人员</w:t>
            </w:r>
            <w:r>
              <w:rPr>
                <w:rFonts w:hint="eastAsia"/>
                <w:color w:val="000000"/>
                <w:szCs w:val="18"/>
                <w:highlight w:val="none"/>
                <w:lang w:val="en-US" w:eastAsia="zh-CN"/>
              </w:rPr>
              <w:t>4</w:t>
            </w:r>
            <w:r>
              <w:rPr>
                <w:rFonts w:hint="eastAsia"/>
                <w:color w:val="000000"/>
                <w:szCs w:val="21"/>
                <w:highlight w:val="none"/>
              </w:rPr>
              <w:t>人</w:t>
            </w:r>
            <w:r>
              <w:rPr>
                <w:rFonts w:hint="eastAsia"/>
                <w:color w:val="000000"/>
                <w:szCs w:val="18"/>
                <w:highlight w:val="none"/>
              </w:rPr>
              <w:t>；操作人员</w:t>
            </w:r>
            <w:r>
              <w:rPr>
                <w:rFonts w:hint="eastAsia"/>
                <w:color w:val="000000"/>
                <w:szCs w:val="18"/>
                <w:highlight w:val="none"/>
                <w:lang w:val="en-US" w:eastAsia="zh-CN"/>
              </w:rPr>
              <w:t>6</w:t>
            </w:r>
            <w:r>
              <w:rPr>
                <w:rFonts w:hint="eastAsia"/>
                <w:color w:val="000000"/>
                <w:szCs w:val="21"/>
                <w:highlight w:val="none"/>
              </w:rPr>
              <w:t>人</w:t>
            </w:r>
            <w:r>
              <w:rPr>
                <w:rFonts w:hint="eastAsia"/>
                <w:color w:val="000000"/>
                <w:szCs w:val="18"/>
                <w:highlight w:val="none"/>
              </w:rPr>
              <w:t>；劳务派遣人员</w:t>
            </w:r>
            <w:r>
              <w:rPr>
                <w:rFonts w:hint="eastAsia"/>
                <w:color w:val="000000"/>
                <w:szCs w:val="18"/>
                <w:highlight w:val="none"/>
                <w:lang w:val="en-US" w:eastAsia="zh-CN"/>
              </w:rPr>
              <w:t>7</w:t>
            </w:r>
            <w:r>
              <w:rPr>
                <w:rFonts w:hint="eastAsia"/>
                <w:color w:val="000000"/>
                <w:szCs w:val="21"/>
                <w:highlight w:val="none"/>
              </w:rPr>
              <w:t>人</w:t>
            </w:r>
            <w:r>
              <w:rPr>
                <w:rFonts w:hint="eastAsia"/>
                <w:color w:val="000000"/>
                <w:szCs w:val="18"/>
                <w:highlight w:val="none"/>
              </w:rPr>
              <w:t>；临时工</w:t>
            </w:r>
            <w:r>
              <w:rPr>
                <w:rFonts w:hint="eastAsia"/>
                <w:color w:val="000000"/>
                <w:szCs w:val="21"/>
                <w:highlight w:val="none"/>
              </w:rPr>
              <w:t>人</w:t>
            </w:r>
            <w:r>
              <w:rPr>
                <w:rFonts w:hint="eastAsia"/>
                <w:color w:val="000000"/>
                <w:szCs w:val="21"/>
                <w:highlight w:val="none"/>
                <w:lang w:val="en-US" w:eastAsia="zh-CN"/>
              </w:rPr>
              <w:t>0人</w:t>
            </w:r>
            <w:r>
              <w:rPr>
                <w:rFonts w:hint="eastAsia"/>
                <w:color w:val="000000"/>
                <w:szCs w:val="18"/>
                <w:highlight w:val="none"/>
              </w:rPr>
              <w:t>；</w:t>
            </w:r>
            <w:r>
              <w:rPr>
                <w:rFonts w:hint="eastAsia"/>
                <w:color w:val="000000"/>
                <w:szCs w:val="21"/>
                <w:highlight w:val="none"/>
              </w:rPr>
              <w:t>季节工人</w:t>
            </w:r>
            <w:r>
              <w:rPr>
                <w:rFonts w:hint="eastAsia"/>
                <w:color w:val="000000"/>
                <w:szCs w:val="21"/>
                <w:highlight w:val="none"/>
                <w:lang w:val="en-US" w:eastAsia="zh-CN"/>
              </w:rPr>
              <w:t>0人</w:t>
            </w:r>
            <w:r>
              <w:rPr>
                <w:rFonts w:hint="eastAsia"/>
                <w:color w:val="000000"/>
                <w:szCs w:val="18"/>
              </w:rPr>
              <w:t>；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与申请一致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与申请不同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7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生产/服务的班次</w:t>
            </w:r>
          </w:p>
          <w:p>
            <w:pPr>
              <w:rPr>
                <w:color w:val="000000"/>
                <w:szCs w:val="18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□单班（例如：</w:t>
            </w:r>
            <w:r>
              <w:rPr>
                <w:color w:val="000000"/>
                <w:szCs w:val="21"/>
              </w:rPr>
              <w:t>8:00- 12 :00</w:t>
            </w:r>
            <w:r>
              <w:rPr>
                <w:rFonts w:hint="eastAsia"/>
                <w:color w:val="000000"/>
                <w:szCs w:val="21"/>
              </w:rPr>
              <w:t>；</w:t>
            </w:r>
            <w:r>
              <w:rPr>
                <w:color w:val="000000"/>
                <w:szCs w:val="21"/>
              </w:rPr>
              <w:t>13 :00- 17 :00</w:t>
            </w:r>
            <w:r>
              <w:rPr>
                <w:rFonts w:hint="eastAsia"/>
                <w:color w:val="000000"/>
                <w:szCs w:val="21"/>
              </w:rPr>
              <w:t>；）</w:t>
            </w:r>
          </w:p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□双班（例如：早班</w:t>
            </w:r>
            <w:r>
              <w:rPr>
                <w:color w:val="000000"/>
                <w:szCs w:val="21"/>
              </w:rPr>
              <w:t>8:00- 16 :00</w:t>
            </w:r>
            <w:r>
              <w:rPr>
                <w:rFonts w:hint="eastAsia"/>
                <w:color w:val="000000"/>
                <w:szCs w:val="21"/>
              </w:rPr>
              <w:t>；晚班</w:t>
            </w:r>
            <w:r>
              <w:rPr>
                <w:color w:val="000000"/>
                <w:szCs w:val="21"/>
              </w:rPr>
              <w:t>16 :00- 24 :00</w:t>
            </w:r>
            <w:r>
              <w:rPr>
                <w:rFonts w:hint="eastAsia"/>
                <w:color w:val="000000"/>
                <w:szCs w:val="21"/>
              </w:rPr>
              <w:t>；）</w:t>
            </w:r>
          </w:p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21"/>
              </w:rPr>
              <w:t>三班（例如：早班</w:t>
            </w:r>
            <w:r>
              <w:rPr>
                <w:color w:val="000000"/>
                <w:szCs w:val="21"/>
              </w:rPr>
              <w:t>8:00- 16 :00</w:t>
            </w:r>
            <w:r>
              <w:rPr>
                <w:rFonts w:hint="eastAsia"/>
                <w:color w:val="000000"/>
                <w:szCs w:val="21"/>
              </w:rPr>
              <w:t>；晚班</w:t>
            </w:r>
            <w:r>
              <w:rPr>
                <w:color w:val="000000"/>
                <w:szCs w:val="21"/>
              </w:rPr>
              <w:t>16 :00- 24 :00</w:t>
            </w:r>
            <w:r>
              <w:rPr>
                <w:rFonts w:hint="eastAsia"/>
                <w:color w:val="000000"/>
                <w:szCs w:val="21"/>
              </w:rPr>
              <w:t>；夜班</w:t>
            </w:r>
            <w:r>
              <w:rPr>
                <w:color w:val="000000"/>
                <w:szCs w:val="21"/>
              </w:rPr>
              <w:t>24 :00-</w:t>
            </w:r>
            <w:r>
              <w:rPr>
                <w:rFonts w:hint="eastAsia"/>
                <w:color w:val="000000"/>
                <w:szCs w:val="21"/>
              </w:rPr>
              <w:t>次日</w:t>
            </w:r>
            <w:r>
              <w:rPr>
                <w:color w:val="000000"/>
                <w:szCs w:val="21"/>
              </w:rPr>
              <w:t xml:space="preserve"> 08 :00</w:t>
            </w:r>
            <w:r>
              <w:rPr>
                <w:rFonts w:hint="eastAsia"/>
                <w:color w:val="000000"/>
                <w:szCs w:val="21"/>
              </w:rPr>
              <w:t>）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  <w:lang w:val="en-US" w:eastAsia="zh-CN"/>
              </w:rPr>
              <w:t>能源管理</w:t>
            </w:r>
            <w:r>
              <w:rPr>
                <w:rFonts w:hint="eastAsia"/>
                <w:color w:val="000000"/>
                <w:szCs w:val="18"/>
              </w:rPr>
              <w:t>体系运行时间是否满足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6</w:t>
            </w:r>
            <w:r>
              <w:rPr>
                <w:rFonts w:hint="eastAsia"/>
                <w:color w:val="000000"/>
                <w:szCs w:val="18"/>
              </w:rPr>
              <w:t>个月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管理手册发布的时间：</w:t>
            </w:r>
            <w:r>
              <w:rPr>
                <w:rFonts w:hint="eastAsia"/>
                <w:color w:val="000000"/>
                <w:szCs w:val="18"/>
                <w:highlight w:val="none"/>
                <w:lang w:val="en-US" w:eastAsia="zh-CN"/>
              </w:rPr>
              <w:t>2021</w:t>
            </w:r>
            <w:r>
              <w:rPr>
                <w:rFonts w:hint="eastAsia"/>
                <w:color w:val="000000"/>
                <w:szCs w:val="18"/>
                <w:highlight w:val="none"/>
              </w:rPr>
              <w:t>年</w:t>
            </w:r>
            <w:r>
              <w:rPr>
                <w:rFonts w:hint="eastAsia"/>
                <w:color w:val="000000"/>
                <w:szCs w:val="18"/>
                <w:highlight w:val="none"/>
                <w:lang w:val="en-US" w:eastAsia="zh-CN"/>
              </w:rPr>
              <w:t>5</w:t>
            </w:r>
            <w:r>
              <w:rPr>
                <w:rFonts w:hint="eastAsia"/>
                <w:color w:val="000000"/>
                <w:szCs w:val="18"/>
                <w:highlight w:val="none"/>
              </w:rPr>
              <w:t>月</w:t>
            </w:r>
            <w:r>
              <w:rPr>
                <w:rFonts w:hint="eastAsia"/>
                <w:color w:val="000000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eastAsia"/>
                <w:color w:val="000000"/>
                <w:szCs w:val="18"/>
                <w:highlight w:val="none"/>
              </w:rPr>
              <w:t>日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至今</w:t>
            </w:r>
            <w:r>
              <w:rPr>
                <w:rFonts w:hint="eastAsia"/>
                <w:color w:val="000000"/>
                <w:lang w:val="en-US" w:eastAsia="zh-CN"/>
              </w:rPr>
              <w:t>能源</w:t>
            </w:r>
            <w:r>
              <w:rPr>
                <w:rFonts w:hint="eastAsia"/>
                <w:color w:val="000000"/>
              </w:rPr>
              <w:t>管理体系已运行</w:t>
            </w:r>
            <w:r>
              <w:rPr>
                <w:rFonts w:hint="eastAsia"/>
                <w:color w:val="000000"/>
                <w:lang w:val="en-US" w:eastAsia="zh-CN"/>
              </w:rPr>
              <w:t>6</w:t>
            </w:r>
            <w:r>
              <w:rPr>
                <w:rFonts w:hint="eastAsia"/>
                <w:color w:val="000000"/>
              </w:rPr>
              <w:t>个月以上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至今管理体系运行不足</w:t>
            </w:r>
            <w:r>
              <w:rPr>
                <w:rFonts w:hint="eastAsia"/>
                <w:color w:val="000000"/>
                <w:lang w:val="en-US" w:eastAsia="zh-CN"/>
              </w:rPr>
              <w:t>6</w:t>
            </w:r>
            <w:r>
              <w:rPr>
                <w:rFonts w:hint="eastAsia"/>
                <w:color w:val="000000"/>
              </w:rPr>
              <w:t>个月以</w:t>
            </w:r>
          </w:p>
          <w:p>
            <w:pPr>
              <w:rPr>
                <w:color w:val="000000"/>
                <w:szCs w:val="18"/>
              </w:rPr>
            </w:pP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7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组织对相关标准的宣贯培训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Cs w:val="18"/>
                <w:highlight w:val="none"/>
              </w:rPr>
            </w:pPr>
            <w:r>
              <w:rPr>
                <w:rFonts w:hint="eastAsia"/>
                <w:color w:val="000000"/>
                <w:szCs w:val="18"/>
                <w:highlight w:val="none"/>
              </w:rPr>
              <w:t>标准宣贯的时间：</w:t>
            </w:r>
            <w:r>
              <w:rPr>
                <w:rFonts w:hint="eastAsia"/>
                <w:color w:val="000000"/>
                <w:szCs w:val="18"/>
                <w:highlight w:val="none"/>
                <w:lang w:val="en-US" w:eastAsia="zh-CN"/>
              </w:rPr>
              <w:t>2021</w:t>
            </w:r>
            <w:r>
              <w:rPr>
                <w:rFonts w:hint="eastAsia"/>
                <w:color w:val="000000"/>
                <w:szCs w:val="18"/>
                <w:highlight w:val="none"/>
              </w:rPr>
              <w:t>年</w:t>
            </w:r>
            <w:r>
              <w:rPr>
                <w:rFonts w:hint="eastAsia"/>
                <w:color w:val="000000"/>
                <w:szCs w:val="18"/>
                <w:highlight w:val="none"/>
                <w:lang w:val="en-US" w:eastAsia="zh-CN"/>
              </w:rPr>
              <w:t>4</w:t>
            </w:r>
            <w:r>
              <w:rPr>
                <w:rFonts w:hint="eastAsia"/>
                <w:color w:val="000000"/>
                <w:szCs w:val="18"/>
                <w:highlight w:val="none"/>
              </w:rPr>
              <w:t>月</w:t>
            </w:r>
            <w:r>
              <w:rPr>
                <w:rFonts w:hint="eastAsia"/>
                <w:color w:val="000000"/>
                <w:szCs w:val="18"/>
                <w:highlight w:val="none"/>
                <w:lang w:val="en-US" w:eastAsia="zh-CN"/>
              </w:rPr>
              <w:t>5</w:t>
            </w:r>
            <w:r>
              <w:rPr>
                <w:rFonts w:hint="eastAsia"/>
                <w:color w:val="000000"/>
                <w:szCs w:val="18"/>
                <w:highlight w:val="none"/>
              </w:rPr>
              <w:t>日</w:t>
            </w:r>
          </w:p>
          <w:p>
            <w:pPr>
              <w:rPr>
                <w:rFonts w:hint="default" w:eastAsia="宋体"/>
                <w:color w:val="000000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highlight w:val="none"/>
              </w:rPr>
              <w:t xml:space="preserve">□QMS  □EMS  □OHSMS  □FSMSMS  □HACCP   </w:t>
            </w:r>
            <w:r>
              <w:rPr>
                <w:rFonts w:hint="eastAsia"/>
                <w:color w:val="000000"/>
                <w:szCs w:val="21"/>
                <w:highlight w:val="none"/>
                <w:lang w:eastAsia="zh-CN"/>
              </w:rPr>
              <w:t>☑</w:t>
            </w:r>
            <w:r>
              <w:rPr>
                <w:rFonts w:hint="eastAsia"/>
                <w:color w:val="000000"/>
                <w:szCs w:val="21"/>
                <w:highlight w:val="none"/>
                <w:lang w:val="en-US" w:eastAsia="zh-CN"/>
              </w:rPr>
              <w:t>EnMS</w:t>
            </w:r>
          </w:p>
          <w:p>
            <w:pPr>
              <w:rPr>
                <w:color w:val="000000"/>
                <w:szCs w:val="21"/>
                <w:highlight w:val="none"/>
              </w:rPr>
            </w:pPr>
          </w:p>
          <w:p>
            <w:pPr>
              <w:widowControl/>
              <w:jc w:val="left"/>
              <w:rPr>
                <w:color w:val="000000"/>
                <w:szCs w:val="18"/>
                <w:highlight w:val="none"/>
              </w:rPr>
            </w:pPr>
            <w:r>
              <w:rPr>
                <w:rFonts w:hint="eastAsia"/>
                <w:color w:val="000000"/>
                <w:szCs w:val="21"/>
                <w:highlight w:val="none"/>
                <w:lang w:eastAsia="zh-CN"/>
              </w:rPr>
              <w:t>☑</w:t>
            </w:r>
            <w:r>
              <w:rPr>
                <w:rFonts w:hint="eastAsia"/>
                <w:color w:val="000000"/>
                <w:highlight w:val="none"/>
              </w:rPr>
              <w:t>已培训了相关标准和内审员知识；</w:t>
            </w:r>
            <w:r>
              <w:rPr>
                <w:rFonts w:hint="eastAsia"/>
                <w:color w:val="000000"/>
                <w:szCs w:val="21"/>
                <w:highlight w:val="none"/>
              </w:rPr>
              <w:t>□</w:t>
            </w:r>
            <w:r>
              <w:rPr>
                <w:rFonts w:hint="eastAsia"/>
                <w:color w:val="000000"/>
                <w:highlight w:val="none"/>
              </w:rPr>
              <w:t>至今未培训相关标准和内审员知识</w:t>
            </w:r>
          </w:p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  <w:highlight w:val="none"/>
              </w:rPr>
              <w:t>员工对相关标准的认知和能力（应知应会、持证上岗等）</w:t>
            </w:r>
            <w:r>
              <w:rPr>
                <w:rFonts w:hint="eastAsia"/>
                <w:color w:val="000000"/>
                <w:szCs w:val="21"/>
                <w:highlight w:val="none"/>
              </w:rPr>
              <w:t>□满足要求，</w:t>
            </w:r>
            <w:r>
              <w:rPr>
                <w:rFonts w:hint="eastAsia"/>
                <w:color w:val="000000"/>
                <w:szCs w:val="21"/>
                <w:highlight w:val="none"/>
                <w:lang w:eastAsia="zh-CN"/>
              </w:rPr>
              <w:t>☑</w:t>
            </w:r>
            <w:r>
              <w:rPr>
                <w:rFonts w:hint="eastAsia"/>
                <w:color w:val="000000"/>
                <w:szCs w:val="21"/>
                <w:highlight w:val="none"/>
              </w:rPr>
              <w:t>基本满足要求，□不满足要求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8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了解企业基本情况：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主要的内部环境和外部环境分析的充分性</w:t>
            </w:r>
          </w:p>
          <w:p>
            <w:pPr>
              <w:widowControl/>
              <w:ind w:firstLine="420" w:firstLineChars="200"/>
              <w:jc w:val="left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已实施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不充分，需要完善： </w:t>
            </w:r>
          </w:p>
          <w:p>
            <w:pPr>
              <w:widowControl/>
              <w:jc w:val="left"/>
              <w:rPr>
                <w:color w:val="000000"/>
                <w:szCs w:val="18"/>
              </w:rPr>
            </w:pPr>
          </w:p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主要的相关方和期望的充分性</w:t>
            </w:r>
          </w:p>
          <w:p>
            <w:pPr>
              <w:widowControl/>
              <w:ind w:firstLine="420" w:firstLineChars="200"/>
              <w:jc w:val="left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已实施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不充分，需要完善： </w:t>
            </w:r>
          </w:p>
          <w:p>
            <w:pPr>
              <w:widowControl/>
              <w:jc w:val="left"/>
              <w:rPr>
                <w:color w:val="000000"/>
                <w:u w:val="single"/>
              </w:rPr>
            </w:pPr>
          </w:p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确定风险的识别和评价</w:t>
            </w:r>
          </w:p>
          <w:p>
            <w:pPr>
              <w:widowControl/>
              <w:ind w:firstLine="420" w:firstLineChars="200"/>
              <w:jc w:val="left"/>
              <w:rPr>
                <w:color w:val="000000"/>
                <w:szCs w:val="18"/>
                <w:highlight w:val="cyan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已实施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不充分，需要完善： </w:t>
            </w:r>
          </w:p>
          <w:p>
            <w:pPr>
              <w:widowControl/>
              <w:jc w:val="left"/>
              <w:rPr>
                <w:color w:val="000000"/>
                <w:szCs w:val="18"/>
                <w:highlight w:val="cyan"/>
              </w:rPr>
            </w:pPr>
          </w:p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组织机构设置、职责分配及沟通</w:t>
            </w:r>
          </w:p>
          <w:p>
            <w:pPr>
              <w:widowControl/>
              <w:ind w:firstLine="420" w:firstLineChars="200"/>
              <w:jc w:val="left"/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已实施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不充分，需要完善： </w:t>
            </w:r>
          </w:p>
          <w:p>
            <w:pPr>
              <w:widowControl/>
              <w:jc w:val="left"/>
              <w:rPr>
                <w:color w:val="000000"/>
                <w:szCs w:val="18"/>
              </w:rPr>
            </w:pPr>
          </w:p>
          <w:p>
            <w:pPr>
              <w:widowControl/>
              <w:jc w:val="left"/>
              <w:rPr>
                <w:rFonts w:hint="default" w:eastAsia="宋体"/>
                <w:color w:val="000000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szCs w:val="18"/>
              </w:rPr>
              <w:t>- 确定外部提供过程、产品和服务（外包过程）：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采购、财务管理由集团统一管理。</w:t>
            </w:r>
          </w:p>
          <w:p>
            <w:pPr>
              <w:widowControl/>
              <w:jc w:val="left"/>
              <w:rPr>
                <w:color w:val="000000"/>
                <w:szCs w:val="18"/>
                <w:highlight w:val="cyan"/>
              </w:rPr>
            </w:pPr>
          </w:p>
          <w:p>
            <w:pPr>
              <w:widowControl/>
              <w:jc w:val="left"/>
              <w:rPr>
                <w:color w:val="000000"/>
                <w:szCs w:val="18"/>
                <w:highlight w:val="cyan"/>
              </w:rPr>
            </w:pPr>
          </w:p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被主管部门处罚和曝光情况</w:t>
            </w:r>
          </w:p>
          <w:p>
            <w:pPr>
              <w:widowControl/>
              <w:ind w:firstLine="420" w:firstLineChars="200"/>
              <w:jc w:val="left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未发生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已发生，说明： </w:t>
            </w:r>
          </w:p>
          <w:p>
            <w:pPr>
              <w:widowControl/>
              <w:jc w:val="left"/>
              <w:rPr>
                <w:color w:val="000000"/>
                <w:szCs w:val="18"/>
                <w:highlight w:val="cyan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其他机构转入情况（适用时）</w:t>
            </w:r>
          </w:p>
          <w:p>
            <w:pPr>
              <w:ind w:firstLine="210" w:firstLineChars="100"/>
              <w:rPr>
                <w:color w:val="000000"/>
                <w:szCs w:val="18"/>
                <w:highlight w:val="cyan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已收集到以往的不符合项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未收集到以往的不符合项 ，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widowControl/>
              <w:spacing w:before="40"/>
              <w:jc w:val="left"/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b/>
                <w:bCs/>
                <w:color w:val="000000"/>
                <w:szCs w:val="18"/>
                <w:shd w:val="pct10" w:color="auto" w:fill="FFFFFF"/>
              </w:rPr>
              <w:t>与最高管理者了解各</w:t>
            </w: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管理体系的运行情况：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color w:val="000000"/>
                <w:szCs w:val="18"/>
                <w:highlight w:val="none"/>
              </w:rPr>
            </w:pPr>
            <w:r>
              <w:rPr>
                <w:rFonts w:hint="eastAsia"/>
                <w:color w:val="000000"/>
                <w:szCs w:val="18"/>
                <w:highlight w:val="none"/>
              </w:rPr>
              <w:t>组织文件化的管理方针已制定，内容为：</w:t>
            </w:r>
            <w:r>
              <w:rPr>
                <w:rFonts w:hint="eastAsia"/>
                <w:b/>
                <w:bCs/>
                <w:color w:val="000000"/>
                <w:szCs w:val="18"/>
                <w:highlight w:val="none"/>
              </w:rPr>
              <w:t>安全第一、预防为主、综合管理</w:t>
            </w:r>
            <w:r>
              <w:rPr>
                <w:rFonts w:hint="eastAsia"/>
                <w:b/>
                <w:bCs/>
                <w:color w:val="000000"/>
                <w:szCs w:val="18"/>
                <w:highlight w:val="none"/>
                <w:lang w:eastAsia="zh-CN"/>
              </w:rPr>
              <w:t>；</w:t>
            </w:r>
            <w:r>
              <w:rPr>
                <w:rFonts w:hint="eastAsia"/>
                <w:b/>
                <w:bCs/>
                <w:color w:val="000000"/>
                <w:szCs w:val="18"/>
                <w:highlight w:val="none"/>
              </w:rPr>
              <w:t>重视客户，满足客户期望的质量和可靠的产品服务</w:t>
            </w:r>
            <w:r>
              <w:rPr>
                <w:rFonts w:hint="eastAsia"/>
                <w:b/>
                <w:bCs/>
                <w:color w:val="000000"/>
                <w:szCs w:val="18"/>
                <w:highlight w:val="none"/>
                <w:lang w:eastAsia="zh-CN"/>
              </w:rPr>
              <w:t>；</w:t>
            </w:r>
            <w:r>
              <w:rPr>
                <w:rFonts w:hint="eastAsia"/>
                <w:b/>
                <w:bCs/>
                <w:color w:val="000000"/>
                <w:szCs w:val="18"/>
                <w:highlight w:val="none"/>
              </w:rPr>
              <w:t>持续改进，推动卓越运行，实现可持续发展</w:t>
            </w:r>
            <w:r>
              <w:rPr>
                <w:rFonts w:hint="eastAsia"/>
                <w:b/>
                <w:bCs/>
                <w:color w:val="000000"/>
                <w:szCs w:val="18"/>
                <w:highlight w:val="none"/>
                <w:lang w:eastAsia="zh-CN"/>
              </w:rPr>
              <w:t>；</w:t>
            </w:r>
            <w:r>
              <w:rPr>
                <w:rFonts w:hint="eastAsia"/>
                <w:b/>
                <w:bCs/>
                <w:color w:val="000000"/>
                <w:szCs w:val="18"/>
                <w:highlight w:val="none"/>
              </w:rPr>
              <w:t>遵守所有法律法规和内外部要求</w:t>
            </w:r>
            <w:r>
              <w:rPr>
                <w:rFonts w:hint="eastAsia"/>
                <w:b/>
                <w:bCs/>
                <w:color w:val="000000"/>
                <w:szCs w:val="18"/>
                <w:highlight w:val="none"/>
                <w:lang w:eastAsia="zh-CN"/>
              </w:rPr>
              <w:t>；</w:t>
            </w:r>
            <w:r>
              <w:rPr>
                <w:rFonts w:hint="eastAsia"/>
                <w:b/>
                <w:bCs/>
                <w:color w:val="000000"/>
                <w:szCs w:val="18"/>
                <w:highlight w:val="none"/>
              </w:rPr>
              <w:t>节约成本；提高能效，持续改进</w:t>
            </w:r>
            <w:r>
              <w:rPr>
                <w:rFonts w:hint="eastAsia"/>
                <w:b/>
                <w:bCs/>
                <w:color w:val="000000"/>
                <w:szCs w:val="18"/>
                <w:highlight w:val="none"/>
                <w:lang w:eastAsia="zh-CN"/>
              </w:rPr>
              <w:t>；</w:t>
            </w:r>
            <w:r>
              <w:rPr>
                <w:rFonts w:hint="eastAsia"/>
                <w:b/>
                <w:bCs/>
                <w:color w:val="000000"/>
                <w:szCs w:val="18"/>
                <w:highlight w:val="none"/>
              </w:rPr>
              <w:t>保持有效管理体系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color w:val="000000"/>
                <w:szCs w:val="18"/>
                <w:highlight w:val="none"/>
              </w:rPr>
            </w:pPr>
          </w:p>
          <w:p>
            <w:pPr>
              <w:widowControl/>
              <w:spacing w:before="40"/>
              <w:jc w:val="left"/>
              <w:rPr>
                <w:color w:val="000000"/>
                <w:spacing w:val="-2"/>
                <w:szCs w:val="21"/>
              </w:rPr>
            </w:pPr>
            <w:r>
              <w:rPr>
                <w:rFonts w:hint="eastAsia"/>
                <w:color w:val="000000"/>
                <w:szCs w:val="18"/>
              </w:rPr>
              <w:t>贯彻情况：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pacing w:val="-2"/>
                <w:szCs w:val="21"/>
              </w:rPr>
              <w:t>文件发放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Cs w:val="21"/>
              </w:rPr>
              <w:t xml:space="preserve">标语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pacing w:val="-2"/>
                <w:szCs w:val="21"/>
              </w:rPr>
              <w:t>展板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  <w:spacing w:val="-2"/>
                <w:szCs w:val="21"/>
              </w:rPr>
              <w:t>网站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  <w:spacing w:val="-2"/>
                <w:szCs w:val="21"/>
              </w:rPr>
              <w:t>员工手册</w:t>
            </w:r>
            <w:r>
              <w:rPr>
                <w:rFonts w:hint="eastAsia"/>
                <w:color w:val="000000"/>
                <w:szCs w:val="21"/>
              </w:rPr>
              <w:t>□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</w:p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组织文件化的管理目标已制定，内容为：</w:t>
            </w:r>
          </w:p>
          <w:tbl>
            <w:tblPr>
              <w:tblStyle w:val="6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532"/>
              <w:gridCol w:w="1182"/>
              <w:gridCol w:w="2898"/>
              <w:gridCol w:w="2161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532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</w:rPr>
                  </w:pPr>
                  <w:r>
                    <w:rPr>
                      <w:rFonts w:hint="eastAsia"/>
                      <w:color w:val="000000"/>
                      <w:szCs w:val="18"/>
                    </w:rPr>
                    <w:t>目标</w:t>
                  </w:r>
                </w:p>
              </w:tc>
              <w:tc>
                <w:tcPr>
                  <w:tcW w:w="1182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</w:rPr>
                  </w:pPr>
                  <w:r>
                    <w:rPr>
                      <w:rFonts w:hint="eastAsia"/>
                      <w:color w:val="000000"/>
                      <w:szCs w:val="18"/>
                    </w:rPr>
                    <w:t>考核频次</w:t>
                  </w:r>
                </w:p>
              </w:tc>
              <w:tc>
                <w:tcPr>
                  <w:tcW w:w="2898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</w:rPr>
                  </w:pPr>
                  <w:r>
                    <w:rPr>
                      <w:rFonts w:hint="eastAsia"/>
                      <w:color w:val="000000"/>
                      <w:szCs w:val="18"/>
                    </w:rPr>
                    <w:t>计算方法</w:t>
                  </w:r>
                </w:p>
              </w:tc>
              <w:tc>
                <w:tcPr>
                  <w:tcW w:w="2161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</w:rPr>
                  </w:pPr>
                  <w:r>
                    <w:rPr>
                      <w:rFonts w:hint="eastAsia"/>
                      <w:color w:val="000000"/>
                      <w:szCs w:val="18"/>
                    </w:rPr>
                    <w:t>完成情况（</w:t>
                  </w:r>
                  <w:r>
                    <w:rPr>
                      <w:rFonts w:hint="eastAsia"/>
                      <w:color w:val="000000"/>
                      <w:szCs w:val="18"/>
                      <w:lang w:val="en-US" w:eastAsia="zh-CN"/>
                    </w:rPr>
                    <w:t>2021年</w:t>
                  </w:r>
                  <w:r>
                    <w:rPr>
                      <w:rFonts w:hint="eastAsia"/>
                      <w:color w:val="000000"/>
                      <w:szCs w:val="18"/>
                    </w:rPr>
                    <w:t>）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532" w:type="dxa"/>
                </w:tcPr>
                <w:p>
                  <w:pPr>
                    <w:widowControl/>
                    <w:spacing w:before="40"/>
                    <w:jc w:val="left"/>
                    <w:rPr>
                      <w:rFonts w:hint="eastAsia" w:ascii="Times New Roman" w:hAnsi="Times New Roman" w:eastAsia="宋体" w:cs="Times New Roman"/>
                      <w:color w:val="auto"/>
                      <w:szCs w:val="18"/>
                      <w:highlight w:val="none"/>
                      <w:lang w:eastAsia="zh-CN"/>
                    </w:rPr>
                  </w:pPr>
                  <w:r>
                    <w:rPr>
                      <w:rFonts w:hint="eastAsia"/>
                      <w:color w:val="000000"/>
                      <w:szCs w:val="18"/>
                      <w:highlight w:val="none"/>
                    </w:rPr>
                    <w:t>单位产品（氮气）综合能耗</w:t>
                  </w:r>
                  <w:r>
                    <w:rPr>
                      <w:rFonts w:hint="eastAsia"/>
                      <w:color w:val="000000"/>
                      <w:szCs w:val="18"/>
                      <w:highlight w:val="none"/>
                      <w:lang w:val="en-US" w:eastAsia="zh-CN"/>
                    </w:rPr>
                    <w:t>≤</w:t>
                  </w:r>
                  <w:r>
                    <w:rPr>
                      <w:rFonts w:hint="eastAsia"/>
                      <w:color w:val="000000"/>
                      <w:szCs w:val="18"/>
                      <w:highlight w:val="none"/>
                    </w:rPr>
                    <w:t>0.030kgce/Nm</w:t>
                  </w:r>
                  <w:r>
                    <w:rPr>
                      <w:rFonts w:hint="eastAsia"/>
                      <w:color w:val="000000"/>
                      <w:szCs w:val="18"/>
                      <w:highlight w:val="none"/>
                      <w:vertAlign w:val="superscript"/>
                    </w:rPr>
                    <w:t>3</w:t>
                  </w:r>
                  <w:r>
                    <w:rPr>
                      <w:rFonts w:hint="eastAsia"/>
                      <w:color w:val="000000"/>
                      <w:szCs w:val="18"/>
                      <w:highlight w:val="none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18"/>
                      <w:highlight w:val="none"/>
                      <w:lang w:eastAsia="zh-CN"/>
                    </w:rPr>
                    <w:t>（</w:t>
                  </w: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18"/>
                      <w:highlight w:val="none"/>
                      <w:lang w:val="en-US" w:eastAsia="zh-CN"/>
                    </w:rPr>
                    <w:t>不含新鲜水</w:t>
                  </w: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18"/>
                      <w:highlight w:val="none"/>
                      <w:lang w:eastAsia="zh-CN"/>
                    </w:rPr>
                    <w:t>）</w:t>
                  </w:r>
                </w:p>
              </w:tc>
              <w:tc>
                <w:tcPr>
                  <w:tcW w:w="1182" w:type="dxa"/>
                </w:tcPr>
                <w:p>
                  <w:pPr>
                    <w:widowControl/>
                    <w:spacing w:before="40"/>
                    <w:jc w:val="left"/>
                    <w:rPr>
                      <w:rFonts w:hint="default" w:ascii="Times New Roman" w:hAnsi="Times New Roman" w:eastAsia="宋体" w:cs="Times New Roman"/>
                      <w:color w:val="auto"/>
                      <w:szCs w:val="18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18"/>
                      <w:highlight w:val="none"/>
                      <w:lang w:val="en-US" w:eastAsia="zh-CN"/>
                    </w:rPr>
                    <w:t>每月</w:t>
                  </w:r>
                </w:p>
              </w:tc>
              <w:tc>
                <w:tcPr>
                  <w:tcW w:w="2898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auto"/>
                      <w:szCs w:val="18"/>
                      <w:highlight w:val="yellow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18"/>
                      <w:highlight w:val="none"/>
                    </w:rPr>
                    <w:t>单位能耗</w:t>
                  </w: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18"/>
                      <w:highlight w:val="none"/>
                      <w:lang w:val="en-US" w:eastAsia="zh-CN"/>
                    </w:rPr>
                    <w:t>Kgce</w:t>
                  </w: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18"/>
                      <w:highlight w:val="none"/>
                    </w:rPr>
                    <w:t>/N</w:t>
                  </w: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18"/>
                      <w:highlight w:val="none"/>
                      <w:lang w:val="en-US" w:eastAsia="zh-CN"/>
                    </w:rPr>
                    <w:t>m</w:t>
                  </w: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18"/>
                      <w:highlight w:val="none"/>
                      <w:vertAlign w:val="superscript"/>
                      <w:lang w:val="en-US" w:eastAsia="zh-CN"/>
                    </w:rPr>
                    <w:t>3</w:t>
                  </w: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18"/>
                      <w:highlight w:val="none"/>
                    </w:rPr>
                    <w:t>=装置生产总</w:t>
                  </w:r>
                  <w:r>
                    <w:rPr>
                      <w:rFonts w:hint="eastAsia" w:cs="Times New Roman"/>
                      <w:color w:val="auto"/>
                      <w:szCs w:val="18"/>
                      <w:highlight w:val="none"/>
                      <w:lang w:val="en-US" w:eastAsia="zh-CN"/>
                    </w:rPr>
                    <w:t>能耗kgce</w:t>
                  </w: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18"/>
                      <w:highlight w:val="none"/>
                    </w:rPr>
                    <w:t>/（氮气+液氮产量）N</w:t>
                  </w: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18"/>
                      <w:highlight w:val="none"/>
                      <w:lang w:val="en-US" w:eastAsia="zh-CN"/>
                    </w:rPr>
                    <w:t>m</w:t>
                  </w: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18"/>
                      <w:highlight w:val="none"/>
                      <w:vertAlign w:val="superscript"/>
                    </w:rPr>
                    <w:t>3</w:t>
                  </w:r>
                </w:p>
              </w:tc>
              <w:tc>
                <w:tcPr>
                  <w:tcW w:w="2161" w:type="dxa"/>
                </w:tcPr>
                <w:p>
                  <w:pPr>
                    <w:widowControl/>
                    <w:spacing w:before="40"/>
                    <w:jc w:val="left"/>
                    <w:rPr>
                      <w:rFonts w:hint="default" w:eastAsia="宋体"/>
                      <w:color w:val="000000"/>
                      <w:szCs w:val="18"/>
                      <w:highlight w:val="cyan"/>
                      <w:lang w:val="en-US" w:eastAsia="zh-CN"/>
                    </w:rPr>
                  </w:pPr>
                  <w:r>
                    <w:rPr>
                      <w:rFonts w:hint="eastAsia" w:cs="Times New Roman"/>
                      <w:color w:val="000000"/>
                      <w:szCs w:val="18"/>
                      <w:highlight w:val="none"/>
                      <w:lang w:val="en-US" w:eastAsia="zh-CN"/>
                    </w:rPr>
                    <w:t>实际</w:t>
                  </w:r>
                  <w:r>
                    <w:rPr>
                      <w:rFonts w:hint="eastAsia" w:ascii="Times New Roman" w:hAnsi="Times New Roman" w:eastAsia="宋体" w:cs="Times New Roman"/>
                      <w:color w:val="000000"/>
                      <w:szCs w:val="18"/>
                      <w:highlight w:val="none"/>
                      <w:lang w:val="en-US" w:eastAsia="zh-CN"/>
                    </w:rPr>
                    <w:t>完成</w:t>
                  </w:r>
                  <w:r>
                    <w:rPr>
                      <w:rFonts w:hint="eastAsia"/>
                      <w:color w:val="000000"/>
                      <w:szCs w:val="18"/>
                      <w:highlight w:val="none"/>
                    </w:rPr>
                    <w:t>0.030kgce/Nm</w:t>
                  </w:r>
                  <w:r>
                    <w:rPr>
                      <w:rFonts w:hint="eastAsia"/>
                      <w:color w:val="000000"/>
                      <w:szCs w:val="18"/>
                      <w:highlight w:val="none"/>
                      <w:vertAlign w:val="superscript"/>
                    </w:rPr>
                    <w:t>3</w:t>
                  </w:r>
                  <w:r>
                    <w:rPr>
                      <w:rFonts w:hint="eastAsia"/>
                      <w:color w:val="000000"/>
                      <w:szCs w:val="18"/>
                      <w:highlight w:val="none"/>
                    </w:rPr>
                    <w:t xml:space="preserve"> 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532" w:type="dxa"/>
                </w:tcPr>
                <w:p>
                  <w:pPr>
                    <w:widowControl/>
                    <w:spacing w:before="40"/>
                    <w:jc w:val="left"/>
                    <w:rPr>
                      <w:rFonts w:hint="default" w:eastAsia="宋体"/>
                      <w:color w:val="000000"/>
                      <w:szCs w:val="18"/>
                      <w:highlight w:val="cyan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0"/>
                      <w:sz w:val="21"/>
                      <w:szCs w:val="21"/>
                      <w:lang w:val="en-US" w:eastAsia="zh-CN" w:bidi="ar"/>
                    </w:rPr>
                    <w:t>单位制氮电耗≤0.23kw.h/Nm</w:t>
                  </w:r>
                  <w:r>
                    <w:rPr>
                      <w:rFonts w:hint="eastAsia" w:ascii="宋体" w:hAnsi="宋体" w:eastAsia="宋体" w:cs="宋体"/>
                      <w:color w:val="auto"/>
                      <w:kern w:val="0"/>
                      <w:sz w:val="21"/>
                      <w:szCs w:val="21"/>
                      <w:vertAlign w:val="superscript"/>
                      <w:lang w:val="en-US" w:eastAsia="zh-CN" w:bidi="ar"/>
                    </w:rPr>
                    <w:t>3</w:t>
                  </w:r>
                </w:p>
              </w:tc>
              <w:tc>
                <w:tcPr>
                  <w:tcW w:w="1182" w:type="dxa"/>
                </w:tcPr>
                <w:p>
                  <w:pPr>
                    <w:widowControl/>
                    <w:spacing w:before="40"/>
                    <w:jc w:val="left"/>
                    <w:rPr>
                      <w:rFonts w:hint="eastAsia" w:ascii="宋体" w:hAnsi="宋体" w:eastAsia="宋体" w:cs="宋体"/>
                      <w:color w:val="auto"/>
                      <w:kern w:val="0"/>
                      <w:sz w:val="21"/>
                      <w:szCs w:val="21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0"/>
                      <w:sz w:val="21"/>
                      <w:szCs w:val="21"/>
                      <w:lang w:val="en-US" w:eastAsia="zh-CN" w:bidi="ar"/>
                    </w:rPr>
                    <w:t>每月</w:t>
                  </w:r>
                </w:p>
              </w:tc>
              <w:tc>
                <w:tcPr>
                  <w:tcW w:w="2898" w:type="dxa"/>
                </w:tcPr>
                <w:p>
                  <w:pPr>
                    <w:widowControl/>
                    <w:spacing w:before="40"/>
                    <w:jc w:val="left"/>
                    <w:rPr>
                      <w:rFonts w:hint="eastAsia" w:ascii="宋体" w:hAnsi="宋体" w:eastAsia="宋体" w:cs="宋体"/>
                      <w:color w:val="auto"/>
                      <w:kern w:val="0"/>
                      <w:sz w:val="21"/>
                      <w:szCs w:val="21"/>
                      <w:lang w:bidi="ar"/>
                    </w:rPr>
                  </w:pPr>
                  <w:r>
                    <w:rPr>
                      <w:rFonts w:hint="eastAsia"/>
                      <w:color w:val="auto"/>
                      <w:szCs w:val="18"/>
                      <w:highlight w:val="none"/>
                    </w:rPr>
                    <w:t>单位</w:t>
                  </w:r>
                  <w:r>
                    <w:rPr>
                      <w:rFonts w:hint="eastAsia"/>
                      <w:color w:val="auto"/>
                      <w:szCs w:val="18"/>
                      <w:highlight w:val="none"/>
                      <w:lang w:val="en-US" w:eastAsia="zh-CN"/>
                    </w:rPr>
                    <w:t>制氮电耗</w:t>
                  </w:r>
                  <w:r>
                    <w:rPr>
                      <w:rFonts w:hint="eastAsia"/>
                      <w:color w:val="auto"/>
                      <w:szCs w:val="18"/>
                      <w:highlight w:val="none"/>
                    </w:rPr>
                    <w:t>能耗KW.H/N</w:t>
                  </w:r>
                  <w:r>
                    <w:rPr>
                      <w:rFonts w:hint="eastAsia"/>
                      <w:color w:val="auto"/>
                      <w:szCs w:val="18"/>
                      <w:highlight w:val="none"/>
                      <w:lang w:val="en-US" w:eastAsia="zh-CN"/>
                    </w:rPr>
                    <w:t>m</w:t>
                  </w:r>
                  <w:r>
                    <w:rPr>
                      <w:rFonts w:hint="eastAsia"/>
                      <w:color w:val="auto"/>
                      <w:szCs w:val="18"/>
                      <w:highlight w:val="none"/>
                      <w:vertAlign w:val="superscript"/>
                    </w:rPr>
                    <w:t>3</w:t>
                  </w:r>
                  <w:r>
                    <w:rPr>
                      <w:rFonts w:hint="eastAsia"/>
                      <w:color w:val="auto"/>
                      <w:szCs w:val="18"/>
                      <w:highlight w:val="none"/>
                    </w:rPr>
                    <w:t>=装置生产总耗电KW.H/（氮气+液氮产量）N</w:t>
                  </w:r>
                  <w:r>
                    <w:rPr>
                      <w:rFonts w:hint="eastAsia"/>
                      <w:color w:val="auto"/>
                      <w:szCs w:val="18"/>
                      <w:highlight w:val="none"/>
                      <w:lang w:val="en-US" w:eastAsia="zh-CN"/>
                    </w:rPr>
                    <w:t>m</w:t>
                  </w:r>
                  <w:r>
                    <w:rPr>
                      <w:rFonts w:hint="eastAsia"/>
                      <w:color w:val="auto"/>
                      <w:szCs w:val="18"/>
                      <w:highlight w:val="none"/>
                      <w:vertAlign w:val="superscript"/>
                    </w:rPr>
                    <w:t>3</w:t>
                  </w:r>
                </w:p>
              </w:tc>
              <w:tc>
                <w:tcPr>
                  <w:tcW w:w="2161" w:type="dxa"/>
                </w:tcPr>
                <w:p>
                  <w:pPr>
                    <w:widowControl/>
                    <w:spacing w:before="40"/>
                    <w:jc w:val="left"/>
                    <w:rPr>
                      <w:rFonts w:hint="eastAsia" w:ascii="宋体" w:hAnsi="宋体" w:eastAsia="宋体" w:cs="宋体"/>
                      <w:color w:val="auto"/>
                      <w:kern w:val="0"/>
                      <w:sz w:val="21"/>
                      <w:szCs w:val="21"/>
                      <w:lang w:bidi="ar"/>
                    </w:rPr>
                  </w:pPr>
                  <w:r>
                    <w:rPr>
                      <w:rFonts w:hint="eastAsia" w:ascii="宋体" w:hAnsi="宋体" w:cs="宋体"/>
                      <w:color w:val="auto"/>
                      <w:kern w:val="0"/>
                      <w:sz w:val="21"/>
                      <w:szCs w:val="21"/>
                      <w:lang w:val="en-US" w:eastAsia="zh-CN" w:bidi="ar"/>
                    </w:rPr>
                    <w:t>实际完成</w:t>
                  </w:r>
                  <w:r>
                    <w:rPr>
                      <w:rFonts w:hint="eastAsia" w:ascii="宋体" w:hAnsi="宋体" w:eastAsia="宋体" w:cs="宋体"/>
                      <w:color w:val="auto"/>
                      <w:kern w:val="0"/>
                      <w:sz w:val="21"/>
                      <w:szCs w:val="21"/>
                      <w:lang w:val="en-US" w:eastAsia="zh-CN" w:bidi="ar"/>
                    </w:rPr>
                    <w:t>0.23kw.h/Nm</w:t>
                  </w:r>
                  <w:r>
                    <w:rPr>
                      <w:rFonts w:hint="eastAsia" w:ascii="宋体" w:hAnsi="宋体" w:eastAsia="宋体" w:cs="宋体"/>
                      <w:color w:val="auto"/>
                      <w:kern w:val="0"/>
                      <w:sz w:val="21"/>
                      <w:szCs w:val="21"/>
                      <w:vertAlign w:val="superscript"/>
                      <w:lang w:val="en-US" w:eastAsia="zh-CN" w:bidi="ar"/>
                    </w:rPr>
                    <w:t>3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532" w:type="dxa"/>
                </w:tcPr>
                <w:p>
                  <w:pPr>
                    <w:widowControl/>
                    <w:spacing w:before="40"/>
                    <w:jc w:val="left"/>
                    <w:rPr>
                      <w:rFonts w:hint="eastAsia" w:ascii="宋体" w:hAnsi="宋体" w:eastAsia="宋体" w:cs="宋体"/>
                      <w:color w:val="auto"/>
                      <w:kern w:val="0"/>
                      <w:sz w:val="21"/>
                      <w:szCs w:val="21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0"/>
                      <w:sz w:val="21"/>
                      <w:szCs w:val="21"/>
                      <w:lang w:val="en-US" w:eastAsia="zh-CN" w:bidi="ar"/>
                    </w:rPr>
                    <w:t>单位产值综合能耗5</w:t>
                  </w:r>
                  <w:r>
                    <w:rPr>
                      <w:rFonts w:hint="eastAsia" w:ascii="宋体" w:hAnsi="宋体" w:cs="宋体"/>
                      <w:color w:val="auto"/>
                      <w:kern w:val="0"/>
                      <w:sz w:val="21"/>
                      <w:szCs w:val="21"/>
                      <w:lang w:val="en-US" w:eastAsia="zh-CN" w:bidi="ar"/>
                    </w:rPr>
                    <w:t>10</w:t>
                  </w:r>
                  <w:r>
                    <w:rPr>
                      <w:rFonts w:hint="eastAsia" w:ascii="宋体" w:hAnsi="宋体" w:eastAsia="宋体" w:cs="宋体"/>
                      <w:color w:val="auto"/>
                      <w:kern w:val="0"/>
                      <w:sz w:val="21"/>
                      <w:szCs w:val="21"/>
                      <w:lang w:val="en-US" w:eastAsia="zh-CN" w:bidi="ar"/>
                    </w:rPr>
                    <w:t xml:space="preserve"> kgce/万元</w:t>
                  </w:r>
                </w:p>
              </w:tc>
              <w:tc>
                <w:tcPr>
                  <w:tcW w:w="1182" w:type="dxa"/>
                </w:tcPr>
                <w:p>
                  <w:pPr>
                    <w:widowControl/>
                    <w:spacing w:before="40"/>
                    <w:jc w:val="left"/>
                    <w:rPr>
                      <w:rFonts w:hint="default" w:ascii="宋体" w:hAnsi="宋体" w:eastAsia="宋体" w:cs="宋体"/>
                      <w:color w:val="auto"/>
                      <w:kern w:val="0"/>
                      <w:sz w:val="21"/>
                      <w:szCs w:val="21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color w:val="auto"/>
                      <w:kern w:val="0"/>
                      <w:sz w:val="21"/>
                      <w:szCs w:val="21"/>
                      <w:lang w:val="en-US" w:eastAsia="zh-CN" w:bidi="ar"/>
                    </w:rPr>
                    <w:t>每年</w:t>
                  </w:r>
                </w:p>
              </w:tc>
              <w:tc>
                <w:tcPr>
                  <w:tcW w:w="2898" w:type="dxa"/>
                </w:tcPr>
                <w:p>
                  <w:pPr>
                    <w:widowControl/>
                    <w:spacing w:before="40"/>
                    <w:jc w:val="left"/>
                    <w:rPr>
                      <w:rFonts w:hint="default" w:ascii="宋体" w:hAnsi="宋体" w:eastAsia="宋体" w:cs="宋体"/>
                      <w:color w:val="auto"/>
                      <w:kern w:val="0"/>
                      <w:sz w:val="21"/>
                      <w:szCs w:val="21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color w:val="auto"/>
                      <w:kern w:val="0"/>
                      <w:sz w:val="21"/>
                      <w:szCs w:val="21"/>
                      <w:lang w:val="en-US" w:eastAsia="zh-CN" w:bidi="ar"/>
                    </w:rPr>
                    <w:t>综合能耗/产值</w:t>
                  </w:r>
                </w:p>
              </w:tc>
              <w:tc>
                <w:tcPr>
                  <w:tcW w:w="2161" w:type="dxa"/>
                </w:tcPr>
                <w:p>
                  <w:pPr>
                    <w:widowControl/>
                    <w:spacing w:before="40"/>
                    <w:jc w:val="left"/>
                    <w:rPr>
                      <w:rFonts w:hint="eastAsia" w:ascii="宋体" w:hAnsi="宋体" w:eastAsia="宋体" w:cs="宋体"/>
                      <w:color w:val="auto"/>
                      <w:kern w:val="0"/>
                      <w:sz w:val="21"/>
                      <w:szCs w:val="21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color w:val="auto"/>
                      <w:kern w:val="0"/>
                      <w:sz w:val="21"/>
                      <w:szCs w:val="21"/>
                      <w:lang w:val="en-US" w:eastAsia="zh-CN" w:bidi="ar"/>
                    </w:rPr>
                    <w:t>实际完成</w:t>
                  </w:r>
                  <w:r>
                    <w:rPr>
                      <w:rFonts w:hint="eastAsia" w:ascii="宋体" w:hAnsi="宋体" w:eastAsia="宋体" w:cs="宋体"/>
                      <w:color w:val="auto"/>
                      <w:kern w:val="0"/>
                      <w:sz w:val="21"/>
                      <w:szCs w:val="21"/>
                      <w:lang w:val="en-US" w:eastAsia="zh-CN" w:bidi="ar"/>
                    </w:rPr>
                    <w:t>505.06 kgce/万元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532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</w:p>
              </w:tc>
              <w:tc>
                <w:tcPr>
                  <w:tcW w:w="1182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</w:p>
              </w:tc>
              <w:tc>
                <w:tcPr>
                  <w:tcW w:w="2898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</w:p>
              </w:tc>
              <w:tc>
                <w:tcPr>
                  <w:tcW w:w="2161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532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</w:p>
              </w:tc>
              <w:tc>
                <w:tcPr>
                  <w:tcW w:w="1182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</w:p>
              </w:tc>
              <w:tc>
                <w:tcPr>
                  <w:tcW w:w="2898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</w:p>
              </w:tc>
              <w:tc>
                <w:tcPr>
                  <w:tcW w:w="2161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</w:p>
              </w:tc>
            </w:tr>
          </w:tbl>
          <w:p>
            <w:pPr>
              <w:widowControl/>
              <w:jc w:val="left"/>
              <w:rPr>
                <w:color w:val="000000"/>
                <w:szCs w:val="18"/>
                <w:shd w:val="pct10" w:color="auto" w:fill="FFFFFF"/>
              </w:rPr>
            </w:pP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4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widowControl/>
              <w:jc w:val="left"/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文件化体系策划情况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color w:val="000000"/>
                <w:szCs w:val="18"/>
                <w:highlight w:val="none"/>
              </w:rPr>
            </w:pPr>
            <w:r>
              <w:rPr>
                <w:rFonts w:hint="eastAsia"/>
                <w:color w:val="000000"/>
                <w:szCs w:val="18"/>
                <w:highlight w:val="none"/>
              </w:rPr>
              <w:t>组织的文件化体系的结构——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 xml:space="preserve">-《管理手册》份；覆盖了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color w:val="000000"/>
                <w:spacing w:val="-2"/>
                <w:szCs w:val="21"/>
              </w:rPr>
              <w:t xml:space="preserve">QMS </w:t>
            </w:r>
            <w:r>
              <w:rPr>
                <w:rFonts w:hint="eastAsia"/>
                <w:color w:val="000000"/>
                <w:szCs w:val="21"/>
              </w:rPr>
              <w:t>□5</w:t>
            </w:r>
            <w:r>
              <w:rPr>
                <w:color w:val="000000"/>
                <w:szCs w:val="21"/>
              </w:rPr>
              <w:t>0430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color w:val="000000"/>
                <w:spacing w:val="-2"/>
                <w:szCs w:val="21"/>
              </w:rPr>
              <w:t>E</w:t>
            </w:r>
            <w:r>
              <w:rPr>
                <w:rFonts w:hint="eastAsia"/>
                <w:color w:val="000000"/>
                <w:spacing w:val="-2"/>
                <w:szCs w:val="21"/>
                <w:lang w:val="en-US" w:eastAsia="zh-CN"/>
              </w:rPr>
              <w:t>n</w:t>
            </w:r>
            <w:r>
              <w:rPr>
                <w:color w:val="000000"/>
                <w:spacing w:val="-2"/>
                <w:szCs w:val="21"/>
              </w:rPr>
              <w:t xml:space="preserve">MS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color w:val="000000"/>
                <w:spacing w:val="-2"/>
                <w:szCs w:val="21"/>
              </w:rPr>
              <w:t xml:space="preserve">OHSMS 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  <w:spacing w:val="-2"/>
                <w:szCs w:val="21"/>
              </w:rPr>
              <w:t>FS</w:t>
            </w:r>
            <w:r>
              <w:rPr>
                <w:color w:val="000000"/>
                <w:spacing w:val="-2"/>
                <w:szCs w:val="21"/>
              </w:rPr>
              <w:t xml:space="preserve">MS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  <w:spacing w:val="-2"/>
                <w:szCs w:val="21"/>
              </w:rPr>
              <w:t>HACCP</w:t>
            </w:r>
          </w:p>
          <w:p>
            <w:pPr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</w:rPr>
              <w:t>-文件化的程序；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 xml:space="preserve"> 13</w:t>
            </w:r>
            <w:r>
              <w:rPr>
                <w:rFonts w:hint="eastAsia"/>
                <w:color w:val="000000"/>
                <w:szCs w:val="18"/>
              </w:rPr>
              <w:t>份；详见《受控文件清单》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-作业文件；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8</w:t>
            </w:r>
            <w:r>
              <w:rPr>
                <w:rFonts w:hint="eastAsia"/>
                <w:color w:val="000000"/>
                <w:szCs w:val="18"/>
              </w:rPr>
              <w:t>份；详见《受控文件清单》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18"/>
              </w:rPr>
              <w:t>-记录表格；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109</w:t>
            </w:r>
            <w:r>
              <w:rPr>
                <w:rFonts w:hint="eastAsia"/>
                <w:color w:val="000000"/>
                <w:szCs w:val="18"/>
              </w:rPr>
              <w:t>份；详见《记录清单》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内审的策划和实施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管理体系的评审</w:t>
            </w:r>
          </w:p>
          <w:p>
            <w:pPr>
              <w:widowControl/>
              <w:spacing w:before="40"/>
              <w:jc w:val="left"/>
              <w:rPr>
                <w:b/>
                <w:bCs/>
                <w:color w:val="000000"/>
                <w:szCs w:val="18"/>
                <w:shd w:val="pct10" w:color="auto" w:fill="FFFFFF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自管理体系建立后，于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2022</w:t>
            </w:r>
            <w:r>
              <w:rPr>
                <w:rFonts w:hint="eastAsia"/>
                <w:color w:val="000000"/>
                <w:szCs w:val="18"/>
              </w:rPr>
              <w:t>年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7</w:t>
            </w:r>
            <w:r>
              <w:rPr>
                <w:rFonts w:hint="eastAsia"/>
                <w:color w:val="000000"/>
                <w:szCs w:val="18"/>
              </w:rPr>
              <w:t>月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15-16</w:t>
            </w:r>
            <w:r>
              <w:rPr>
                <w:rFonts w:hint="eastAsia"/>
                <w:color w:val="000000"/>
                <w:szCs w:val="18"/>
              </w:rPr>
              <w:t>日实施了内部审核；记录包括：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18"/>
              </w:rPr>
              <w:t>内审计划、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18"/>
              </w:rPr>
              <w:t>内审检查表、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能源体系</w:t>
            </w:r>
            <w:r>
              <w:rPr>
                <w:rFonts w:hint="eastAsia"/>
                <w:color w:val="000000"/>
                <w:szCs w:val="18"/>
              </w:rPr>
              <w:t>不符合项报告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1</w:t>
            </w:r>
            <w:r>
              <w:rPr>
                <w:rFonts w:hint="eastAsia"/>
                <w:color w:val="000000"/>
                <w:szCs w:val="18"/>
              </w:rPr>
              <w:t>份、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18"/>
              </w:rPr>
              <w:t>内审报告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18"/>
                <w:highlight w:val="cyan"/>
              </w:rPr>
            </w:pPr>
          </w:p>
          <w:p>
            <w:pPr>
              <w:widowControl/>
              <w:spacing w:before="40"/>
              <w:jc w:val="left"/>
              <w:rPr>
                <w:color w:val="000000"/>
                <w:szCs w:val="18"/>
                <w:highlight w:val="cyan"/>
              </w:rPr>
            </w:pPr>
            <w:r>
              <w:rPr>
                <w:rFonts w:hint="eastAsia"/>
                <w:color w:val="000000"/>
                <w:szCs w:val="18"/>
              </w:rPr>
              <w:t>自管理体系建立后，于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2022</w:t>
            </w:r>
            <w:r>
              <w:rPr>
                <w:rFonts w:hint="eastAsia"/>
                <w:color w:val="000000"/>
                <w:szCs w:val="18"/>
              </w:rPr>
              <w:t>年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8</w:t>
            </w:r>
            <w:r>
              <w:rPr>
                <w:rFonts w:hint="eastAsia"/>
                <w:color w:val="000000"/>
                <w:szCs w:val="18"/>
              </w:rPr>
              <w:t>月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25</w:t>
            </w:r>
            <w:r>
              <w:rPr>
                <w:rFonts w:hint="eastAsia"/>
                <w:color w:val="000000"/>
                <w:szCs w:val="18"/>
              </w:rPr>
              <w:t>日实施了管理评审；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21"/>
              </w:rPr>
              <w:t>管理评审输入</w:t>
            </w:r>
            <w:r>
              <w:rPr>
                <w:rFonts w:hint="eastAsia"/>
                <w:color w:val="000000"/>
                <w:szCs w:val="18"/>
              </w:rPr>
              <w:t>、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18"/>
              </w:rPr>
              <w:t>管理评审输出（报告）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18"/>
                <w:highlight w:val="cyan"/>
              </w:rPr>
            </w:pP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2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single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jc w:val="left"/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EnMS运行情况：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single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single" w:color="auto" w:sz="4" w:space="0"/>
              <w:right w:val="dotted" w:color="auto" w:sz="4" w:space="0"/>
            </w:tcBorders>
            <w:shd w:val="clear" w:color="auto" w:fill="E6E0EC" w:themeFill="accent4" w:themeFillTint="32"/>
            <w:vAlign w:val="center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根据</w:t>
            </w:r>
            <w:r>
              <w:rPr>
                <w:rFonts w:hint="eastAsia"/>
                <w:color w:val="000000"/>
              </w:rPr>
              <w:t>该企业的产品/服务特性</w:t>
            </w:r>
            <w:r>
              <w:rPr>
                <w:rFonts w:hint="eastAsia"/>
                <w:color w:val="000000"/>
                <w:szCs w:val="18"/>
              </w:rPr>
              <w:t>确认能源消耗的种类：</w:t>
            </w:r>
          </w:p>
          <w:p>
            <w:pPr>
              <w:rPr>
                <w:color w:val="000000"/>
                <w:szCs w:val="18"/>
                <w:highlight w:val="magenta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重点</w:t>
            </w:r>
            <w:r>
              <w:rPr>
                <w:rFonts w:hint="eastAsia"/>
                <w:color w:val="000000"/>
                <w:szCs w:val="18"/>
              </w:rPr>
              <w:t>用能单位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  <w:szCs w:val="18"/>
              </w:rPr>
              <w:t>一般用能单位</w:t>
            </w:r>
            <w:r>
              <w:rPr>
                <w:rFonts w:ascii="Wingdings" w:hAnsi="Wingdings"/>
                <w:color w:val="000000"/>
              </w:rPr>
              <w:t>¨¨</w:t>
            </w:r>
            <w:r>
              <w:rPr>
                <w:rFonts w:hint="eastAsia"/>
                <w:color w:val="000000"/>
              </w:rPr>
              <w:t>其他——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能源目标指标完成情况：</w:t>
            </w:r>
          </w:p>
          <w:tbl>
            <w:tblPr>
              <w:tblStyle w:val="6"/>
              <w:tblW w:w="9788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006"/>
              <w:gridCol w:w="2258"/>
              <w:gridCol w:w="4524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06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szCs w:val="21"/>
                    </w:rPr>
                    <w:t>能耗指标</w:t>
                  </w:r>
                </w:p>
              </w:tc>
              <w:tc>
                <w:tcPr>
                  <w:tcW w:w="2258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szCs w:val="21"/>
                    </w:rPr>
                    <w:t>完成情况</w:t>
                  </w:r>
                </w:p>
              </w:tc>
              <w:tc>
                <w:tcPr>
                  <w:tcW w:w="4524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说明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06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szCs w:val="21"/>
                    </w:rPr>
                    <w:t>国家限额指标</w:t>
                  </w:r>
                </w:p>
              </w:tc>
              <w:tc>
                <w:tcPr>
                  <w:tcW w:w="2258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ascii="Wingdings" w:hAnsi="Wingdings"/>
                      <w:szCs w:val="21"/>
                    </w:rPr>
                    <w:t>¨</w:t>
                  </w:r>
                  <w:r>
                    <w:rPr>
                      <w:rFonts w:hint="eastAsia"/>
                      <w:szCs w:val="21"/>
                    </w:rPr>
                    <w:t xml:space="preserve">已完成  </w:t>
                  </w:r>
                  <w:r>
                    <w:rPr>
                      <w:rFonts w:ascii="Wingdings" w:hAnsi="Wingdings"/>
                      <w:szCs w:val="21"/>
                    </w:rPr>
                    <w:t>¨</w:t>
                  </w:r>
                  <w:r>
                    <w:rPr>
                      <w:rFonts w:hint="eastAsia"/>
                      <w:szCs w:val="21"/>
                    </w:rPr>
                    <w:t xml:space="preserve">未完成   </w:t>
                  </w:r>
                </w:p>
              </w:tc>
              <w:tc>
                <w:tcPr>
                  <w:tcW w:w="4524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06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szCs w:val="21"/>
                    </w:rPr>
                    <w:t>地方政府下达的指标</w:t>
                  </w:r>
                </w:p>
              </w:tc>
              <w:tc>
                <w:tcPr>
                  <w:tcW w:w="2258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ascii="Wingdings" w:hAnsi="Wingdings"/>
                      <w:szCs w:val="21"/>
                    </w:rPr>
                    <w:t>¨</w:t>
                  </w:r>
                  <w:r>
                    <w:rPr>
                      <w:rFonts w:hint="eastAsia"/>
                      <w:szCs w:val="21"/>
                    </w:rPr>
                    <w:t xml:space="preserve">已完成  </w:t>
                  </w:r>
                  <w:r>
                    <w:rPr>
                      <w:rFonts w:ascii="Wingdings" w:hAnsi="Wingdings"/>
                      <w:szCs w:val="21"/>
                    </w:rPr>
                    <w:t>¨</w:t>
                  </w:r>
                  <w:r>
                    <w:rPr>
                      <w:rFonts w:hint="eastAsia"/>
                      <w:szCs w:val="21"/>
                    </w:rPr>
                    <w:t xml:space="preserve">未完成   </w:t>
                  </w:r>
                </w:p>
              </w:tc>
              <w:tc>
                <w:tcPr>
                  <w:tcW w:w="4524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06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szCs w:val="21"/>
                    </w:rPr>
                    <w:t>集团或上一级部门下达的指标</w:t>
                  </w:r>
                </w:p>
              </w:tc>
              <w:tc>
                <w:tcPr>
                  <w:tcW w:w="2258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ascii="Wingdings" w:hAnsi="Wingdings"/>
                      <w:szCs w:val="21"/>
                    </w:rPr>
                    <w:t>¨</w:t>
                  </w:r>
                  <w:r>
                    <w:rPr>
                      <w:rFonts w:hint="eastAsia"/>
                      <w:szCs w:val="21"/>
                    </w:rPr>
                    <w:t xml:space="preserve">已完成  </w:t>
                  </w:r>
                  <w:r>
                    <w:rPr>
                      <w:rFonts w:ascii="Wingdings" w:hAnsi="Wingdings"/>
                      <w:szCs w:val="21"/>
                    </w:rPr>
                    <w:t>¨</w:t>
                  </w:r>
                  <w:r>
                    <w:rPr>
                      <w:rFonts w:hint="eastAsia"/>
                      <w:szCs w:val="21"/>
                    </w:rPr>
                    <w:t xml:space="preserve">未完成   </w:t>
                  </w:r>
                </w:p>
              </w:tc>
              <w:tc>
                <w:tcPr>
                  <w:tcW w:w="4524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06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szCs w:val="21"/>
                    </w:rPr>
                    <w:t>本单位制定的目标指标</w:t>
                  </w:r>
                </w:p>
              </w:tc>
              <w:tc>
                <w:tcPr>
                  <w:tcW w:w="2258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ascii="Wingdings" w:hAnsi="Wingdings"/>
                      <w:szCs w:val="21"/>
                    </w:rPr>
                    <w:sym w:font="Wingdings" w:char="00FE"/>
                  </w:r>
                  <w:r>
                    <w:rPr>
                      <w:rFonts w:hint="eastAsia"/>
                      <w:szCs w:val="21"/>
                    </w:rPr>
                    <w:t xml:space="preserve">已完成  </w:t>
                  </w:r>
                  <w:r>
                    <w:rPr>
                      <w:rFonts w:ascii="Wingdings" w:hAnsi="Wingdings"/>
                      <w:szCs w:val="21"/>
                    </w:rPr>
                    <w:t>¨</w:t>
                  </w:r>
                  <w:r>
                    <w:rPr>
                      <w:rFonts w:hint="eastAsia"/>
                      <w:szCs w:val="21"/>
                    </w:rPr>
                    <w:t xml:space="preserve">未完成   </w:t>
                  </w:r>
                </w:p>
              </w:tc>
              <w:tc>
                <w:tcPr>
                  <w:tcW w:w="4524" w:type="dxa"/>
                </w:tcPr>
                <w:p>
                  <w:pPr>
                    <w:rPr>
                      <w:rFonts w:hint="default" w:ascii="宋体" w:hAnsi="宋体" w:eastAsia="宋体" w:cs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szCs w:val="21"/>
                      <w:lang w:val="en-US" w:eastAsia="zh-CN"/>
                    </w:rPr>
                    <w:t>2021年指标完成</w:t>
                  </w:r>
                </w:p>
              </w:tc>
            </w:tr>
          </w:tbl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现有产量与能源评估的产能的对比</w:t>
            </w:r>
          </w:p>
          <w:p>
            <w:pPr>
              <w:rPr>
                <w:rFonts w:hint="eastAsia"/>
                <w:color w:val="000000"/>
                <w:szCs w:val="22"/>
                <w:lang w:eastAsia="zh-CN"/>
              </w:rPr>
            </w:pPr>
            <w:r>
              <w:rPr>
                <w:rFonts w:hint="eastAsia"/>
                <w:color w:val="000000"/>
                <w:szCs w:val="18"/>
              </w:rPr>
              <w:t>现有产量：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18"/>
                <w:u w:val="single"/>
                <w:lang w:val="en-US" w:eastAsia="zh-CN"/>
              </w:rPr>
              <w:t>氮气产量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18"/>
                <w:u w:val="single"/>
                <w:lang w:val="en-US" w:eastAsia="zh-CN"/>
              </w:rPr>
              <w:t>2021年127869782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22"/>
                <w:u w:val="single"/>
              </w:rPr>
              <w:t>Nm</w:t>
            </w:r>
            <w:r>
              <w:rPr>
                <w:rFonts w:hint="eastAsia"/>
                <w:color w:val="000000"/>
                <w:szCs w:val="22"/>
                <w:u w:val="single"/>
                <w:vertAlign w:val="superscript"/>
              </w:rPr>
              <w:t>3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 ；</w:t>
            </w:r>
            <w:r>
              <w:rPr>
                <w:rFonts w:hint="eastAsia"/>
                <w:color w:val="000000"/>
                <w:szCs w:val="18"/>
              </w:rPr>
              <w:t xml:space="preserve"> 能评的产能：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设计产能</w:t>
            </w:r>
            <w:r>
              <w:rPr>
                <w:rFonts w:hint="eastAsia"/>
                <w:color w:val="000000"/>
                <w:szCs w:val="22"/>
              </w:rPr>
              <w:t>17800Nm</w:t>
            </w:r>
            <w:r>
              <w:rPr>
                <w:rFonts w:hint="eastAsia"/>
                <w:color w:val="000000"/>
                <w:szCs w:val="22"/>
                <w:vertAlign w:val="superscript"/>
              </w:rPr>
              <w:t>3</w:t>
            </w:r>
            <w:r>
              <w:rPr>
                <w:rFonts w:hint="eastAsia"/>
                <w:color w:val="000000"/>
                <w:szCs w:val="22"/>
              </w:rPr>
              <w:t>/h氮气生产</w:t>
            </w:r>
            <w:r>
              <w:rPr>
                <w:rFonts w:hint="eastAsia"/>
                <w:color w:val="000000"/>
                <w:szCs w:val="22"/>
                <w:lang w:eastAsia="zh-CN"/>
              </w:rPr>
              <w:t>；企业的氧气、二氧化碳、氩气、氢气属于销售，购进氧气、二氧化碳、氩气、氢气</w:t>
            </w:r>
            <w:r>
              <w:rPr>
                <w:rFonts w:hint="eastAsia"/>
                <w:color w:val="000000"/>
                <w:szCs w:val="22"/>
                <w:lang w:val="en-US" w:eastAsia="zh-CN"/>
              </w:rPr>
              <w:t>经常温气化后</w:t>
            </w:r>
            <w:r>
              <w:rPr>
                <w:rFonts w:hint="eastAsia"/>
                <w:color w:val="000000"/>
                <w:szCs w:val="22"/>
                <w:lang w:eastAsia="zh-CN"/>
              </w:rPr>
              <w:t>销售，在销售经营中用能很少未单独统计；2021年氧气、二氧化碳、氩气、氢气销售产量586519Nm3</w:t>
            </w:r>
          </w:p>
          <w:p>
            <w:pPr>
              <w:rPr>
                <w:rFonts w:ascii="Wingdings" w:hAnsi="Wingdings"/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  <w:szCs w:val="18"/>
              </w:rPr>
              <w:t>未超出产能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已</w:t>
            </w:r>
            <w:r>
              <w:rPr>
                <w:rFonts w:hint="eastAsia"/>
                <w:color w:val="000000"/>
                <w:szCs w:val="18"/>
              </w:rPr>
              <w:t>超出产能</w:t>
            </w:r>
            <w:r>
              <w:rPr>
                <w:rFonts w:hint="eastAsia"/>
                <w:color w:val="000000"/>
              </w:rPr>
              <w:t>，说明：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查看</w:t>
            </w:r>
            <w:r>
              <w:rPr>
                <w:rFonts w:hint="eastAsia"/>
                <w:color w:val="000000"/>
                <w:szCs w:val="18"/>
              </w:rPr>
              <w:t>合规性证明</w:t>
            </w:r>
          </w:p>
          <w:p>
            <w:pPr>
              <w:rPr>
                <w:color w:val="000000"/>
                <w:szCs w:val="18"/>
                <w:u w:val="single"/>
              </w:rPr>
            </w:pPr>
            <w:r>
              <w:rPr>
                <w:color w:val="000000"/>
                <w:szCs w:val="18"/>
              </w:rPr>
              <w:t>《</w:t>
            </w:r>
            <w:r>
              <w:rPr>
                <w:rFonts w:hint="eastAsia"/>
              </w:rPr>
              <w:t>节能评估报告</w:t>
            </w:r>
            <w:r>
              <w:rPr>
                <w:color w:val="000000"/>
                <w:szCs w:val="18"/>
              </w:rPr>
              <w:t>》</w:t>
            </w:r>
            <w:r>
              <w:rPr>
                <w:rFonts w:hint="eastAsia"/>
                <w:color w:val="000000"/>
                <w:szCs w:val="18"/>
              </w:rPr>
              <w:t>编号：日期：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       年     月     日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结论：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  <w:u w:val="single"/>
              </w:rPr>
            </w:pPr>
            <w:r>
              <w:rPr>
                <w:color w:val="000000"/>
                <w:szCs w:val="18"/>
              </w:rPr>
              <w:t>《</w:t>
            </w:r>
            <w:r>
              <w:rPr>
                <w:rFonts w:hint="eastAsia"/>
              </w:rPr>
              <w:t>节能项目验收</w:t>
            </w:r>
            <w:r>
              <w:rPr>
                <w:color w:val="000000"/>
                <w:szCs w:val="18"/>
              </w:rPr>
              <w:t>》</w:t>
            </w:r>
            <w:r>
              <w:rPr>
                <w:rFonts w:hint="eastAsia"/>
                <w:color w:val="000000"/>
                <w:szCs w:val="18"/>
              </w:rPr>
              <w:t>编号：日期：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       年     月     日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结论：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  <w:u w:val="single"/>
              </w:rPr>
            </w:pPr>
            <w:r>
              <w:rPr>
                <w:color w:val="000000"/>
                <w:szCs w:val="18"/>
              </w:rPr>
              <w:t>《</w:t>
            </w:r>
            <w:r>
              <w:rPr>
                <w:rFonts w:hint="eastAsia"/>
              </w:rPr>
              <w:t>能源审计报告</w:t>
            </w:r>
            <w:r>
              <w:rPr>
                <w:color w:val="000000"/>
                <w:szCs w:val="18"/>
              </w:rPr>
              <w:t>》</w:t>
            </w:r>
            <w:r>
              <w:rPr>
                <w:rFonts w:hint="eastAsia"/>
                <w:color w:val="000000"/>
                <w:szCs w:val="18"/>
              </w:rPr>
              <w:t>编号：日期：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       年     月     日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结论：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查看主要能源使用的识别的充分性</w:t>
            </w:r>
          </w:p>
          <w:p>
            <w:pPr>
              <w:ind w:firstLine="420" w:firstLineChars="200"/>
              <w:rPr>
                <w:rFonts w:hint="default" w:eastAsia="宋体"/>
                <w:color w:val="000000"/>
                <w:u w:val="single"/>
                <w:lang w:val="en-US" w:eastAsia="zh-CN"/>
              </w:rPr>
            </w:pPr>
            <w:r>
              <w:rPr>
                <w:rFonts w:ascii="Wingdings" w:hAnsi="Wingdings"/>
                <w:color w:val="000000"/>
              </w:rPr>
              <w:sym w:font="Wingdings" w:char="00A8"/>
            </w:r>
            <w:r>
              <w:rPr>
                <w:rFonts w:hint="eastAsia"/>
                <w:color w:val="000000"/>
              </w:rPr>
              <w:t xml:space="preserve">充分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不充分，需要完善： </w:t>
            </w:r>
            <w:r>
              <w:rPr>
                <w:rFonts w:hint="eastAsia"/>
                <w:color w:val="000000"/>
                <w:lang w:val="en-US" w:eastAsia="zh-CN"/>
              </w:rPr>
              <w:t>未统计购买的氧气、氩气、二氧化碳、氢气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 xml:space="preserve">- </w:t>
            </w:r>
            <w:r>
              <w:rPr>
                <w:rFonts w:hint="eastAsia"/>
                <w:color w:val="000000"/>
                <w:szCs w:val="18"/>
              </w:rPr>
              <w:t xml:space="preserve">了解能源基准和能源绩效参数确定的合理性 </w:t>
            </w:r>
          </w:p>
          <w:p>
            <w:pPr>
              <w:ind w:firstLine="420" w:firstLineChars="200"/>
              <w:rPr>
                <w:rFonts w:hint="default" w:eastAsia="宋体"/>
                <w:color w:val="000000"/>
                <w:u w:val="single"/>
                <w:lang w:val="en-US" w:eastAsia="zh-CN"/>
              </w:rPr>
            </w:pPr>
            <w:r>
              <w:rPr>
                <w:rFonts w:ascii="Wingdings" w:hAnsi="Wingdings"/>
                <w:color w:val="000000"/>
              </w:rPr>
              <w:sym w:font="Wingdings" w:char="00A8"/>
            </w:r>
            <w:r>
              <w:rPr>
                <w:rFonts w:hint="eastAsia"/>
                <w:color w:val="000000"/>
              </w:rPr>
              <w:t xml:space="preserve">合理   </w:t>
            </w:r>
            <w:r>
              <w:rPr>
                <w:rFonts w:ascii="Wingdings" w:hAnsi="Wingdings"/>
                <w:color w:val="000000"/>
              </w:rPr>
              <w:sym w:font="Wingdings" w:char="00A8"/>
            </w:r>
            <w:r>
              <w:rPr>
                <w:rFonts w:hint="eastAsia"/>
                <w:color w:val="000000"/>
              </w:rPr>
              <w:t xml:space="preserve">不合理，需要完善： </w:t>
            </w:r>
            <w:r>
              <w:rPr>
                <w:rFonts w:hint="eastAsia"/>
                <w:color w:val="000000"/>
                <w:lang w:val="en-US" w:eastAsia="zh-CN"/>
              </w:rPr>
              <w:t>能源绩效参数应增加DB33/766-2015标准中要求的纯氮设备单位制氮电耗。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</w:p>
          <w:p>
            <w:pPr>
              <w:pStyle w:val="13"/>
              <w:numPr>
                <w:ilvl w:val="0"/>
                <w:numId w:val="1"/>
              </w:numPr>
              <w:ind w:firstLineChars="0"/>
              <w:rPr>
                <w:color w:val="000000"/>
                <w:sz w:val="21"/>
                <w:szCs w:val="18"/>
              </w:rPr>
            </w:pPr>
            <w:r>
              <w:rPr>
                <w:rFonts w:hint="eastAsia"/>
                <w:color w:val="000000"/>
                <w:sz w:val="21"/>
                <w:szCs w:val="18"/>
              </w:rPr>
              <w:t xml:space="preserve">了解能源数据收集的策划的合理性 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合理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不合理，需要完善： 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-了解适用的能源法律和其他要求的获取、识别和实施情况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充分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不充分，需要完善： </w:t>
            </w:r>
            <w:r>
              <w:rPr>
                <w:rFonts w:hint="eastAsia"/>
                <w:color w:val="000000"/>
                <w:sz w:val="21"/>
                <w:szCs w:val="21"/>
                <w:lang w:val="en-US" w:eastAsia="zh-CN"/>
              </w:rPr>
              <w:t>1）未识别中华人民共和国可再生能源法、GB/T23331-2020能源管理体系 要求及使用指南、GBT 36713-2018能源管理体系 能源基准及能源绩效参数；2）“十三五”节能减排综合性工作方案应更新为“十四五节能减排综合性工作方案”；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 xml:space="preserve">- 了解企业进行合规性评价的有效性 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有效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不足，需要完善： 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 xml:space="preserve">- 了解组织能源评审报告的完成情况 </w:t>
            </w:r>
          </w:p>
          <w:p>
            <w:pPr>
              <w:ind w:firstLine="420" w:firstLineChars="200"/>
              <w:rPr>
                <w:rFonts w:hint="default" w:eastAsia="宋体"/>
                <w:color w:val="000000"/>
                <w:szCs w:val="18"/>
                <w:lang w:val="en-US" w:eastAsia="zh-CN"/>
              </w:rPr>
            </w:pPr>
            <w:r>
              <w:rPr>
                <w:rFonts w:ascii="Wingdings" w:hAnsi="Wingdings"/>
                <w:color w:val="000000"/>
              </w:rPr>
              <w:sym w:font="Wingdings" w:char="00A8"/>
            </w:r>
            <w:r>
              <w:rPr>
                <w:rFonts w:hint="eastAsia"/>
                <w:color w:val="000000"/>
              </w:rPr>
              <w:t xml:space="preserve">有效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不足，需要完善： </w:t>
            </w:r>
            <w:r>
              <w:rPr>
                <w:rFonts w:hint="eastAsia"/>
                <w:color w:val="000000"/>
                <w:lang w:val="en-US" w:eastAsia="zh-CN"/>
              </w:rPr>
              <w:t>需完善2022年的能源基准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-近一年是否进行了技术改进？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未发生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发生过，说明</w:t>
            </w:r>
            <w:r>
              <w:rPr>
                <w:rFonts w:hint="eastAsia"/>
                <w:color w:val="000000"/>
                <w:szCs w:val="18"/>
              </w:rPr>
              <w:t>：</w:t>
            </w:r>
          </w:p>
          <w:p>
            <w:pPr>
              <w:rPr>
                <w:color w:val="000000"/>
                <w:szCs w:val="18"/>
                <w:highlight w:val="red"/>
              </w:rPr>
            </w:pPr>
          </w:p>
          <w:p>
            <w:pPr>
              <w:rPr>
                <w:rFonts w:hint="default" w:eastAsia="宋体"/>
                <w:color w:val="000000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szCs w:val="18"/>
              </w:rPr>
              <w:t>-能源采购包括：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由</w:t>
            </w:r>
            <w:r>
              <w:rPr>
                <w:sz w:val="21"/>
                <w:szCs w:val="21"/>
              </w:rPr>
              <w:t>福州联华林德气体有限公司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提采购计划，集团总部统一采购。</w:t>
            </w:r>
          </w:p>
          <w:p>
            <w:pPr>
              <w:ind w:firstLine="420" w:firstLineChars="200"/>
              <w:rPr>
                <w:rFonts w:hint="eastAsia"/>
                <w:color w:val="000000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电 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 w:ascii="Wingdings" w:hAnsi="Wingdings"/>
                <w:color w:val="000000"/>
                <w:lang w:val="en-US" w:eastAsia="zh-CN"/>
              </w:rPr>
              <w:t>新鲜</w:t>
            </w:r>
            <w:r>
              <w:rPr>
                <w:rFonts w:hint="eastAsia"/>
                <w:color w:val="000000"/>
              </w:rPr>
              <w:t xml:space="preserve">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煤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天然气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color w:val="000000"/>
              </w:rPr>
              <w:t>燃料</w:t>
            </w:r>
            <w:r>
              <w:rPr>
                <w:rFonts w:hint="eastAsia"/>
                <w:color w:val="000000"/>
              </w:rPr>
              <w:t xml:space="preserve">油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蒸汽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压缩空气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压缩气体  </w:t>
            </w:r>
          </w:p>
          <w:p>
            <w:pPr>
              <w:rPr>
                <w:rFonts w:hint="default" w:eastAsia="宋体"/>
                <w:color w:val="000000"/>
                <w:u w:val="single"/>
                <w:lang w:val="en-US" w:eastAsia="zh-CN"/>
              </w:rPr>
            </w:pP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>其他——</w:t>
            </w:r>
            <w:r>
              <w:rPr>
                <w:rFonts w:hint="eastAsia"/>
                <w:color w:val="000000"/>
                <w:lang w:val="en-US" w:eastAsia="zh-CN"/>
              </w:rPr>
              <w:t>氧气、氩气、二氧化碳、氢气</w:t>
            </w:r>
          </w:p>
          <w:p>
            <w:pPr>
              <w:ind w:left="210" w:leftChars="100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</w:rPr>
              <w:t xml:space="preserve"> </w:t>
            </w:r>
          </w:p>
          <w:p>
            <w:pPr>
              <w:rPr>
                <w:color w:val="000000"/>
                <w:shd w:val="pct10" w:color="auto" w:fill="FFFFFF"/>
              </w:rPr>
            </w:pP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single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9" w:hRule="atLeast"/>
        </w:trPr>
        <w:tc>
          <w:tcPr>
            <w:tcW w:w="2160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  <w:vAlign w:val="center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了解节能知识和技能教育的实施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  <w:szCs w:val="18"/>
              </w:rPr>
              <w:sym w:font="Wingdings" w:char="00FE"/>
            </w:r>
            <w:r>
              <w:rPr>
                <w:rFonts w:hint="eastAsia"/>
                <w:color w:val="000000"/>
                <w:szCs w:val="18"/>
              </w:rPr>
              <w:t xml:space="preserve">已实施   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 xml:space="preserve">不充分，需要完善：    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— 了解主要能源使用情况</w:t>
            </w:r>
          </w:p>
          <w:p>
            <w:pPr>
              <w:ind w:left="210" w:leftChars="100"/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电力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热水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煤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天然气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color w:val="000000"/>
              </w:rPr>
              <w:t>燃料</w:t>
            </w:r>
            <w:r>
              <w:rPr>
                <w:rFonts w:hint="eastAsia"/>
                <w:color w:val="000000"/>
              </w:rPr>
              <w:t xml:space="preserve">油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color w:val="000000"/>
              </w:rPr>
              <w:t>燃料</w:t>
            </w:r>
            <w:r>
              <w:rPr>
                <w:rFonts w:hint="eastAsia"/>
                <w:color w:val="000000"/>
              </w:rPr>
              <w:t xml:space="preserve">气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蒸汽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压缩空气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其他—— </w:t>
            </w:r>
          </w:p>
          <w:p>
            <w:pPr>
              <w:rPr>
                <w:color w:val="000000"/>
              </w:rPr>
            </w:pPr>
          </w:p>
        </w:tc>
        <w:tc>
          <w:tcPr>
            <w:tcW w:w="1585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160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  <w:vAlign w:val="center"/>
          </w:tcPr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18"/>
              </w:rPr>
              <w:t xml:space="preserve">- </w:t>
            </w:r>
            <w:r>
              <w:rPr>
                <w:rFonts w:hint="eastAsia"/>
                <w:color w:val="000000"/>
              </w:rPr>
              <w:t>了解节水情况</w:t>
            </w:r>
          </w:p>
          <w:p>
            <w:pPr>
              <w:ind w:left="210" w:leftChars="100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新鲜水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循环水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化学水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除盐水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其他——  </w:t>
            </w:r>
          </w:p>
          <w:p>
            <w:pPr>
              <w:ind w:left="210" w:leftChars="100"/>
              <w:rPr>
                <w:color w:val="000000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了解主要耗能设备的识别状况</w:t>
            </w:r>
          </w:p>
          <w:p>
            <w:pPr>
              <w:ind w:left="210" w:leftChars="100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电力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热水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煤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天然气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color w:val="000000"/>
              </w:rPr>
              <w:t>燃料</w:t>
            </w:r>
            <w:r>
              <w:rPr>
                <w:rFonts w:hint="eastAsia"/>
                <w:color w:val="000000"/>
              </w:rPr>
              <w:t xml:space="preserve">油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蒸汽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压缩空气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其他—— </w:t>
            </w:r>
          </w:p>
          <w:p>
            <w:pPr>
              <w:ind w:left="210" w:leftChars="100"/>
              <w:rPr>
                <w:color w:val="000000"/>
                <w:szCs w:val="18"/>
              </w:rPr>
            </w:pPr>
          </w:p>
          <w:p>
            <w:pPr>
              <w:rPr>
                <w:rFonts w:hint="default" w:eastAsia="宋体"/>
                <w:color w:val="000000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szCs w:val="18"/>
              </w:rPr>
              <w:t>- 了解主要耗能设备的运行效率</w:t>
            </w:r>
            <w:r>
              <w:rPr>
                <w:rFonts w:hint="eastAsia"/>
                <w:color w:val="000000"/>
                <w:szCs w:val="18"/>
                <w:lang w:eastAsia="zh-CN"/>
              </w:rPr>
              <w:t>——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未测试，但企业通过在线电流表、电压表和功率表进行计算</w:t>
            </w:r>
          </w:p>
          <w:p>
            <w:pPr>
              <w:ind w:left="210" w:leftChars="100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机泵 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电机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变压器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电器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锅炉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机床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锻压设备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其他—— </w:t>
            </w:r>
          </w:p>
          <w:p>
            <w:pPr>
              <w:ind w:left="210" w:leftChars="100"/>
              <w:rPr>
                <w:color w:val="000000"/>
                <w:szCs w:val="18"/>
              </w:rPr>
            </w:pPr>
          </w:p>
          <w:p>
            <w:pPr>
              <w:rPr>
                <w:rFonts w:hint="default" w:eastAsia="宋体"/>
                <w:color w:val="000000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szCs w:val="18"/>
              </w:rPr>
              <w:t>- 了解淘汰落后设备的识别情况</w:t>
            </w:r>
            <w:r>
              <w:rPr>
                <w:rFonts w:hint="eastAsia"/>
                <w:color w:val="000000"/>
                <w:szCs w:val="18"/>
                <w:lang w:eastAsia="zh-CN"/>
              </w:rPr>
              <w:t>——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无淘汰落后设备</w:t>
            </w:r>
          </w:p>
          <w:p>
            <w:pPr>
              <w:ind w:left="210" w:leftChars="100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机泵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电机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变压器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电器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锅炉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机床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锻压设备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其他—— </w:t>
            </w:r>
          </w:p>
          <w:p>
            <w:pPr>
              <w:ind w:left="210" w:leftChars="100"/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 xml:space="preserve">- </w:t>
            </w:r>
            <w:r>
              <w:rPr>
                <w:color w:val="000000"/>
                <w:szCs w:val="18"/>
              </w:rPr>
              <w:t>了解能耗限值达标情况</w:t>
            </w:r>
          </w:p>
          <w:p>
            <w:pPr>
              <w:ind w:firstLine="210" w:firstLineChars="100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达标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不达标，原因：————————</w:t>
            </w:r>
          </w:p>
          <w:p>
            <w:pPr>
              <w:ind w:firstLine="210" w:firstLineChars="100"/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了解能源计量器具配备情况</w:t>
            </w:r>
          </w:p>
          <w:p>
            <w:pPr>
              <w:rPr>
                <w:color w:val="000000"/>
                <w:szCs w:val="18"/>
                <w:highlight w:val="none"/>
              </w:rPr>
            </w:pPr>
            <w:r>
              <w:rPr>
                <w:rFonts w:ascii="Wingdings" w:hAnsi="Wingdings"/>
                <w:color w:val="000000"/>
                <w:szCs w:val="18"/>
                <w:highlight w:val="none"/>
              </w:rPr>
              <w:sym w:font="Wingdings" w:char="00FE"/>
            </w:r>
            <w:r>
              <w:rPr>
                <w:rFonts w:hint="eastAsia"/>
                <w:color w:val="000000"/>
                <w:szCs w:val="18"/>
                <w:highlight w:val="none"/>
              </w:rPr>
              <w:t xml:space="preserve">用能单位            配备率  </w:t>
            </w:r>
            <w:r>
              <w:rPr>
                <w:rFonts w:ascii="Wingdings" w:hAnsi="Wingdings"/>
                <w:color w:val="000000"/>
                <w:szCs w:val="18"/>
                <w:highlight w:val="none"/>
              </w:rPr>
              <w:sym w:font="Wingdings" w:char="00FE"/>
            </w:r>
            <w:r>
              <w:rPr>
                <w:color w:val="000000"/>
                <w:szCs w:val="18"/>
                <w:highlight w:val="none"/>
              </w:rPr>
              <w:t>符合</w:t>
            </w:r>
            <w:r>
              <w:rPr>
                <w:rFonts w:ascii="Wingdings" w:hAnsi="Wingdings"/>
                <w:color w:val="000000"/>
                <w:szCs w:val="18"/>
                <w:highlight w:val="none"/>
              </w:rPr>
              <w:t>¨</w:t>
            </w:r>
            <w:r>
              <w:rPr>
                <w:color w:val="000000"/>
                <w:szCs w:val="18"/>
                <w:highlight w:val="none"/>
              </w:rPr>
              <w:t>不符合</w:t>
            </w:r>
            <w:r>
              <w:rPr>
                <w:rFonts w:hint="eastAsia"/>
                <w:color w:val="000000"/>
                <w:szCs w:val="18"/>
                <w:highlight w:val="none"/>
              </w:rPr>
              <w:t xml:space="preserve">    配备等级 </w:t>
            </w:r>
            <w:r>
              <w:rPr>
                <w:rFonts w:ascii="Wingdings" w:hAnsi="Wingdings"/>
                <w:color w:val="000000"/>
                <w:szCs w:val="18"/>
                <w:highlight w:val="none"/>
              </w:rPr>
              <w:sym w:font="Wingdings" w:char="00FE"/>
            </w:r>
            <w:r>
              <w:rPr>
                <w:color w:val="000000"/>
                <w:szCs w:val="18"/>
                <w:highlight w:val="none"/>
              </w:rPr>
              <w:t>符合</w:t>
            </w:r>
            <w:r>
              <w:rPr>
                <w:rFonts w:ascii="Wingdings" w:hAnsi="Wingdings"/>
                <w:color w:val="000000"/>
                <w:szCs w:val="18"/>
                <w:highlight w:val="none"/>
              </w:rPr>
              <w:t>¨</w:t>
            </w:r>
            <w:r>
              <w:rPr>
                <w:color w:val="000000"/>
                <w:szCs w:val="18"/>
                <w:highlight w:val="none"/>
              </w:rPr>
              <w:t>不符合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  <w:szCs w:val="18"/>
              </w:rPr>
              <w:sym w:font="Wingdings" w:char="00FE"/>
            </w:r>
            <w:r>
              <w:rPr>
                <w:color w:val="000000"/>
                <w:szCs w:val="18"/>
              </w:rPr>
              <w:t>主要次级用能单位</w:t>
            </w:r>
            <w:r>
              <w:rPr>
                <w:rFonts w:hint="eastAsia"/>
                <w:color w:val="000000"/>
                <w:szCs w:val="18"/>
              </w:rPr>
              <w:t xml:space="preserve">    配备率  </w:t>
            </w:r>
            <w:r>
              <w:rPr>
                <w:rFonts w:ascii="Wingdings" w:hAnsi="Wingdings"/>
                <w:color w:val="000000"/>
                <w:szCs w:val="18"/>
              </w:rPr>
              <w:sym w:font="Wingdings" w:char="00FE"/>
            </w:r>
            <w:r>
              <w:rPr>
                <w:color w:val="000000"/>
                <w:szCs w:val="18"/>
              </w:rPr>
              <w:t>符合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color w:val="000000"/>
                <w:szCs w:val="18"/>
              </w:rPr>
              <w:t>不符合</w:t>
            </w:r>
            <w:r>
              <w:rPr>
                <w:rFonts w:hint="eastAsia"/>
                <w:color w:val="000000"/>
                <w:szCs w:val="18"/>
              </w:rPr>
              <w:t xml:space="preserve">    配备等级 </w:t>
            </w:r>
            <w:r>
              <w:rPr>
                <w:rFonts w:ascii="Wingdings" w:hAnsi="Wingdings"/>
                <w:color w:val="000000"/>
                <w:szCs w:val="18"/>
              </w:rPr>
              <w:sym w:font="Wingdings" w:char="00FE"/>
            </w:r>
            <w:r>
              <w:rPr>
                <w:color w:val="000000"/>
                <w:szCs w:val="18"/>
              </w:rPr>
              <w:t>符合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color w:val="000000"/>
                <w:szCs w:val="18"/>
              </w:rPr>
              <w:t>不符合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  <w:szCs w:val="18"/>
              </w:rPr>
              <w:sym w:font="Wingdings" w:char="00FE"/>
            </w:r>
            <w:r>
              <w:rPr>
                <w:rFonts w:hint="eastAsia"/>
                <w:color w:val="000000"/>
                <w:szCs w:val="18"/>
              </w:rPr>
              <w:t xml:space="preserve">主要用能设备        配备率  </w:t>
            </w:r>
            <w:r>
              <w:rPr>
                <w:rFonts w:ascii="Wingdings" w:hAnsi="Wingdings"/>
                <w:color w:val="000000"/>
                <w:szCs w:val="18"/>
              </w:rPr>
              <w:sym w:font="Wingdings" w:char="00FE"/>
            </w:r>
            <w:r>
              <w:rPr>
                <w:color w:val="000000"/>
                <w:szCs w:val="18"/>
              </w:rPr>
              <w:t>符合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color w:val="000000"/>
                <w:szCs w:val="18"/>
              </w:rPr>
              <w:t>不符合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(部分主要用能设备未配备但可以通过监视系统进行计算</w:t>
            </w:r>
            <w:r>
              <w:rPr>
                <w:rFonts w:hint="eastAsia"/>
                <w:color w:val="000000"/>
                <w:szCs w:val="18"/>
              </w:rPr>
              <w:t xml:space="preserve">    配备等级 </w:t>
            </w:r>
            <w:r>
              <w:rPr>
                <w:rFonts w:ascii="Wingdings" w:hAnsi="Wingdings"/>
                <w:color w:val="000000"/>
                <w:szCs w:val="18"/>
              </w:rPr>
              <w:sym w:font="Wingdings" w:char="00FE"/>
            </w:r>
            <w:r>
              <w:rPr>
                <w:color w:val="000000"/>
                <w:szCs w:val="18"/>
              </w:rPr>
              <w:t>符合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color w:val="000000"/>
                <w:szCs w:val="18"/>
              </w:rPr>
              <w:t>不符合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</w:rPr>
            </w:pPr>
          </w:p>
        </w:tc>
        <w:tc>
          <w:tcPr>
            <w:tcW w:w="1585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widowControl/>
              <w:spacing w:before="40"/>
              <w:jc w:val="left"/>
              <w:rPr>
                <w:color w:val="000000"/>
                <w:szCs w:val="18"/>
                <w:highlight w:val="cyan"/>
              </w:rPr>
            </w:pPr>
            <w:r>
              <w:rPr>
                <w:rFonts w:hint="eastAsia"/>
                <w:color w:val="000000"/>
                <w:szCs w:val="18"/>
              </w:rPr>
              <w:t>相关方的反馈及</w:t>
            </w:r>
            <w:r>
              <w:rPr>
                <w:rFonts w:hint="eastAsia"/>
                <w:color w:val="000000"/>
              </w:rPr>
              <w:t>投诉处理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  <w:vAlign w:val="center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近一年相关方反馈处理情况，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未发生</w:t>
            </w:r>
          </w:p>
          <w:p>
            <w:pPr>
              <w:ind w:firstLine="2520" w:firstLineChars="1200"/>
              <w:rPr>
                <w:color w:val="000000"/>
                <w:u w:val="single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发生过，说明</w:t>
            </w:r>
            <w:r>
              <w:rPr>
                <w:rFonts w:hint="eastAsia"/>
                <w:color w:val="000000"/>
                <w:u w:val="single"/>
              </w:rPr>
              <w:t xml:space="preserve">； 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近一年处罚整改情况，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未发生</w:t>
            </w:r>
          </w:p>
          <w:p>
            <w:pPr>
              <w:ind w:firstLine="2520" w:firstLineChars="1200"/>
              <w:rPr>
                <w:color w:val="000000"/>
                <w:u w:val="single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发生过，说明</w:t>
            </w:r>
            <w:r>
              <w:rPr>
                <w:rFonts w:hint="eastAsia"/>
                <w:color w:val="000000"/>
                <w:u w:val="single"/>
              </w:rPr>
              <w:t xml:space="preserve">； </w:t>
            </w:r>
          </w:p>
          <w:p>
            <w:pPr>
              <w:rPr>
                <w:color w:val="000000"/>
                <w:u w:val="single"/>
              </w:rPr>
            </w:pPr>
            <w:r>
              <w:rPr>
                <w:rFonts w:hint="eastAsia"/>
                <w:color w:val="000000"/>
              </w:rPr>
              <w:t>近一年重大能源事故情况，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 xml:space="preserve">未发生 </w:t>
            </w:r>
          </w:p>
          <w:p>
            <w:pPr>
              <w:ind w:firstLine="2520" w:firstLineChars="1200"/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发生过，说明</w:t>
            </w:r>
            <w:r>
              <w:rPr>
                <w:rFonts w:hint="eastAsia"/>
                <w:color w:val="000000"/>
                <w:u w:val="single"/>
              </w:rPr>
              <w:t>；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jc w:val="left"/>
              <w:rPr>
                <w:color w:val="000000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EnMS</w:t>
            </w:r>
            <w:r>
              <w:rPr>
                <w:rFonts w:hint="eastAsia"/>
                <w:color w:val="000000"/>
                <w:shd w:val="pct10" w:color="auto" w:fill="FFFFFF"/>
              </w:rPr>
              <w:t>场所巡查</w:t>
            </w:r>
            <w:r>
              <w:rPr>
                <w:color w:val="000000"/>
                <w:shd w:val="pct10" w:color="auto" w:fill="FFFFFF"/>
              </w:rPr>
              <w:t>: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  <w:vAlign w:val="center"/>
          </w:tcPr>
          <w:p>
            <w:pPr>
              <w:rPr>
                <w:rFonts w:hint="eastAsia"/>
                <w:color w:val="000000"/>
                <w:szCs w:val="18"/>
              </w:rPr>
            </w:pPr>
            <w:r>
              <w:rPr>
                <w:rFonts w:hint="eastAsia"/>
                <w:color w:val="000000"/>
              </w:rPr>
              <w:t>- 巡视厂区，</w:t>
            </w:r>
            <w:r>
              <w:rPr>
                <w:rFonts w:hint="eastAsia"/>
                <w:color w:val="000000"/>
                <w:szCs w:val="18"/>
              </w:rPr>
              <w:t>查看地理位置图、厂区平面图（适用时）</w:t>
            </w:r>
          </w:p>
          <w:p>
            <w:pPr>
              <w:rPr>
                <w:rFonts w:hint="eastAsia"/>
                <w:color w:val="000000"/>
                <w:szCs w:val="18"/>
              </w:rPr>
            </w:pPr>
            <w:r>
              <w:rPr>
                <w:rFonts w:ascii="仿宋" w:hAnsi="仿宋" w:eastAsia="仿宋"/>
              </w:rPr>
              <w:drawing>
                <wp:inline distT="0" distB="0" distL="0" distR="0">
                  <wp:extent cx="4562475" cy="2381250"/>
                  <wp:effectExtent l="0" t="0" r="9525" b="635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475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10" w:firstLineChars="100"/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</w:rPr>
              <w:t>þ</w:t>
            </w:r>
            <w:r>
              <w:rPr>
                <w:rFonts w:hint="eastAsia"/>
                <w:color w:val="000000"/>
              </w:rPr>
              <w:t xml:space="preserve">工业区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>商业区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 xml:space="preserve">生态保护区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其他——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 巡视办公区域和生产区域的能源管理情况，是否存在：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  <w:szCs w:val="21"/>
              </w:rPr>
              <w:sym w:font="Wingdings" w:char="00FE"/>
            </w:r>
            <w:r>
              <w:rPr>
                <w:rFonts w:hint="eastAsia" w:ascii="宋体" w:hAnsi="宋体" w:cs="宋体"/>
                <w:kern w:val="0"/>
                <w:szCs w:val="21"/>
              </w:rPr>
              <w:t>空调温度控制，</w:t>
            </w:r>
            <w:r>
              <w:rPr>
                <w:rFonts w:ascii="Wingdings" w:hAnsi="Wingdings"/>
                <w:color w:val="000000"/>
                <w:szCs w:val="21"/>
              </w:rPr>
              <w:t>¨</w:t>
            </w:r>
            <w:r>
              <w:rPr>
                <w:rFonts w:hint="eastAsia" w:ascii="宋体" w:hAnsi="宋体" w:cs="宋体"/>
                <w:kern w:val="0"/>
                <w:szCs w:val="21"/>
              </w:rPr>
              <w:t>长明灯，</w:t>
            </w:r>
            <w:r>
              <w:rPr>
                <w:rFonts w:ascii="Wingdings" w:hAnsi="Wingdings"/>
                <w:color w:val="000000"/>
                <w:szCs w:val="21"/>
              </w:rPr>
              <w:t>¨</w:t>
            </w:r>
            <w:r>
              <w:rPr>
                <w:rFonts w:hint="eastAsia" w:ascii="宋体" w:hAnsi="宋体" w:cs="宋体"/>
                <w:kern w:val="0"/>
                <w:szCs w:val="21"/>
              </w:rPr>
              <w:t>长流水；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天然气使用开关关闭；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其他——</w:t>
            </w:r>
          </w:p>
          <w:p>
            <w:pPr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</w:rPr>
              <w:t>- 巡视生产区域（厂区、车间、公用工程等），</w:t>
            </w:r>
            <w:r>
              <w:rPr>
                <w:rFonts w:hint="eastAsia"/>
                <w:color w:val="000000"/>
                <w:szCs w:val="18"/>
              </w:rPr>
              <w:t>了解能源使用的种类：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资源能源消耗类：</w:t>
            </w:r>
          </w:p>
          <w:p>
            <w:pPr>
              <w:widowControl/>
              <w:spacing w:before="40"/>
              <w:ind w:firstLine="210" w:firstLineChars="100"/>
              <w:jc w:val="left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燃料气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热水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燃料油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电能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天然气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压缩空气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蒸汽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其他—— </w:t>
            </w: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 巡视动力设施和辅助设施的状况，关注主要用能场所：</w:t>
            </w:r>
          </w:p>
          <w:p>
            <w:pPr>
              <w:widowControl/>
              <w:spacing w:before="40"/>
              <w:ind w:left="420" w:leftChars="100" w:hanging="210" w:hangingChars="100"/>
              <w:jc w:val="left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锅炉房 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加热炉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color w:val="000000"/>
              </w:rPr>
              <w:t>汽轮机</w:t>
            </w:r>
            <w:r>
              <w:rPr>
                <w:rFonts w:hint="eastAsia"/>
                <w:color w:val="000000"/>
              </w:rPr>
              <w:t>、</w:t>
            </w:r>
            <w:r>
              <w:rPr>
                <w:color w:val="000000"/>
              </w:rPr>
              <w:t>空压机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高压配电室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低压配电室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空压站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制冷站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污水处理站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改建/扩建施工现场    </w:t>
            </w:r>
            <w:r>
              <w:rPr>
                <w:rFonts w:hint="eastAsia"/>
                <w:color w:val="000000"/>
                <w:highlight w:val="none"/>
              </w:rPr>
              <w:t xml:space="preserve"> </w:t>
            </w:r>
            <w:r>
              <w:rPr>
                <w:rFonts w:ascii="Wingdings" w:hAnsi="Wingdings"/>
                <w:color w:val="000000"/>
                <w:highlight w:val="none"/>
              </w:rPr>
              <w:sym w:font="Wingdings" w:char="00A8"/>
            </w:r>
            <w:r>
              <w:rPr>
                <w:rFonts w:hint="eastAsia"/>
                <w:color w:val="000000"/>
                <w:highlight w:val="none"/>
              </w:rPr>
              <w:t xml:space="preserve">食堂 </w:t>
            </w:r>
            <w:r>
              <w:rPr>
                <w:rFonts w:hint="eastAsia"/>
                <w:color w:val="000000"/>
              </w:rPr>
              <w:t xml:space="preserve">  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其他—— </w:t>
            </w:r>
          </w:p>
          <w:p>
            <w:pPr>
              <w:widowControl/>
              <w:spacing w:before="40"/>
              <w:ind w:firstLine="210" w:firstLineChars="100"/>
              <w:jc w:val="left"/>
              <w:rPr>
                <w:color w:val="000000"/>
              </w:rPr>
            </w:pP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 确认生产/服务流程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与提供流程图一致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与提供流程图不一致，说明： </w:t>
            </w: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 观察基础设施（高耗能设备）运行完好：是否存在低负荷运行——</w:t>
            </w:r>
          </w:p>
          <w:p>
            <w:pPr>
              <w:widowControl/>
              <w:spacing w:before="40"/>
              <w:ind w:left="420" w:leftChars="100" w:hanging="210" w:hangingChars="100"/>
              <w:jc w:val="left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电动机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工业锅炉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工业炉窑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电器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反应釜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机床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锻压设备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热处理设备</w:t>
            </w:r>
          </w:p>
          <w:p>
            <w:pPr>
              <w:widowControl/>
              <w:spacing w:before="40"/>
              <w:ind w:left="420" w:leftChars="100" w:hanging="210" w:hangingChars="100"/>
              <w:jc w:val="left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制冷设备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泵 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其他——</w:t>
            </w:r>
          </w:p>
          <w:p>
            <w:pPr>
              <w:widowControl/>
              <w:spacing w:before="40"/>
              <w:ind w:firstLine="210" w:firstLineChars="100"/>
              <w:jc w:val="left"/>
              <w:rPr>
                <w:color w:val="000000"/>
              </w:rPr>
            </w:pP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 观察能源相关的监视和测量设备的种类并了解检定/校准情况</w:t>
            </w:r>
          </w:p>
          <w:p>
            <w:pPr>
              <w:widowControl/>
              <w:spacing w:before="40"/>
              <w:ind w:firstLine="210" w:firstLineChars="100"/>
              <w:jc w:val="left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color w:val="000000"/>
              </w:rPr>
              <w:t>流量计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温度计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氧化锆测定仪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压力表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电表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电流表 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电压表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其他——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</w:rPr>
              <w:t xml:space="preserve">- 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b/>
                <w:bCs/>
                <w:color w:val="000000"/>
              </w:rPr>
            </w:pPr>
            <w:r>
              <w:rPr>
                <w:rFonts w:hint="eastAsia"/>
                <w:color w:val="000000"/>
                <w:szCs w:val="18"/>
              </w:rPr>
              <w:t>与申请信息变更的说明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pStyle w:val="13"/>
              <w:numPr>
                <w:ilvl w:val="0"/>
                <w:numId w:val="2"/>
              </w:numPr>
              <w:ind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 xml:space="preserve">注册地址变更                               </w:t>
            </w:r>
          </w:p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□ 经营地址变更                                    </w:t>
            </w:r>
          </w:p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21"/>
              </w:rPr>
              <w:t xml:space="preserve"> 认证范围变更</w:t>
            </w:r>
            <w:r>
              <w:rPr>
                <w:rFonts w:hint="eastAsia"/>
                <w:color w:val="000000"/>
                <w:szCs w:val="21"/>
                <w:lang w:eastAsia="zh-CN"/>
              </w:rPr>
              <w:t>：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见变更单</w:t>
            </w:r>
            <w:r>
              <w:rPr>
                <w:rFonts w:hint="eastAsia"/>
                <w:color w:val="000000"/>
                <w:szCs w:val="21"/>
              </w:rPr>
              <w:t xml:space="preserve">                                    </w:t>
            </w:r>
          </w:p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□ 员工人数变更                                     </w:t>
            </w:r>
          </w:p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□ 临时现场变更                                     </w:t>
            </w:r>
          </w:p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□ 其他                                              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color w:val="000000"/>
                <w:szCs w:val="18"/>
              </w:rPr>
              <w:t>识别二阶段审核的资源配置情况和可行性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 识别二阶段审核的资源配置情况</w:t>
            </w:r>
          </w:p>
          <w:p>
            <w:pPr>
              <w:pStyle w:val="13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 有生产/服务现场   </w:t>
            </w:r>
            <w:r>
              <w:rPr>
                <w:rFonts w:hint="eastAsia"/>
                <w:color w:val="000000"/>
                <w:sz w:val="21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领导层可以迎审  □交通食宿  □劳保用品  </w:t>
            </w:r>
          </w:p>
          <w:p>
            <w:pPr>
              <w:pStyle w:val="13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□ 其他：</w:t>
            </w:r>
          </w:p>
          <w:p>
            <w:pPr>
              <w:pStyle w:val="13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</w:p>
          <w:p>
            <w:pPr>
              <w:pStyle w:val="13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 识别二阶段审核的可行性</w:t>
            </w:r>
          </w:p>
          <w:p>
            <w:pPr>
              <w:pStyle w:val="13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 二阶段日期的可接受性  □审核组成员的可接受性  □一阶段的问题已整改</w:t>
            </w:r>
          </w:p>
          <w:p>
            <w:pPr>
              <w:pStyle w:val="13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 不存在影响二阶段审核的问题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</w:tbl>
    <w:p>
      <w:r>
        <w:ptab w:relativeTo="margin" w:alignment="center" w:leader="none"/>
      </w:r>
    </w:p>
    <w:p/>
    <w:p/>
    <w:p>
      <w:pPr>
        <w:pStyle w:val="3"/>
      </w:pPr>
      <w:r>
        <w:rPr>
          <w:rFonts w:hint="eastAsia"/>
        </w:rPr>
        <w:t>说明：不符合标注N</w:t>
      </w: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</w:sdtPr>
    <w:sdtContent>
      <w:sdt>
        <w:sdtPr>
          <w:id w:val="171357217"/>
        </w:sdtPr>
        <w:sdtContent>
          <w:p>
            <w:pPr>
              <w:pStyle w:val="3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19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26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2"/>
        <w:rFonts w:hint="default"/>
      </w:rPr>
    </w:pPr>
    <w: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-140335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8101330</wp:posOffset>
              </wp:positionH>
              <wp:positionV relativeFrom="paragraph">
                <wp:posOffset>33020</wp:posOffset>
              </wp:positionV>
              <wp:extent cx="1088390" cy="256540"/>
              <wp:effectExtent l="0" t="0" r="3810" b="10160"/>
              <wp:wrapNone/>
              <wp:docPr id="14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8390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</w:t>
                          </w:r>
                          <w:r>
                            <w:rPr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-I-</w:t>
                          </w:r>
                          <w:r>
                            <w:rPr>
                              <w:sz w:val="18"/>
                              <w:szCs w:val="18"/>
                            </w:rPr>
                            <w:t>13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(05版)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left:637.9pt;margin-top:2.6pt;height:20.2pt;width:85.7pt;z-index:251659264;mso-width-relative:page;mso-height-relative:page;" fillcolor="#FFFFFF" filled="t" stroked="f" coordsize="21600,21600" o:gfxdata="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9/Oxy1wAAAAoBAAAPAAAAAAAAAAEAIAAAACIAAABkcnMvZG93bnJl&#10;di54bWxQSwECFAAUAAAACACHTuJA0cGNlMUBAAB7AwAADgAAAAAAAAABACAAAAAmAQAAZHJzL2Uy&#10;b0RvYy54bWxQSwUGAAAAAAYABgBZAQAAXQUAAAAA&#10;"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r>
                      <w:rPr>
                        <w:rFonts w:hint="eastAsia"/>
                        <w:sz w:val="18"/>
                        <w:szCs w:val="18"/>
                      </w:rPr>
                      <w:t>ISC-</w:t>
                    </w:r>
                    <w:r>
                      <w:rPr>
                        <w:sz w:val="18"/>
                        <w:szCs w:val="18"/>
                      </w:rPr>
                      <w:t>B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-I-</w:t>
                    </w:r>
                    <w:r>
                      <w:rPr>
                        <w:sz w:val="18"/>
                        <w:szCs w:val="18"/>
                      </w:rPr>
                      <w:t>13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(05版)</w:t>
                    </w:r>
                  </w:p>
                </w:txbxContent>
              </v:textbox>
            </v:shape>
          </w:pict>
        </mc:Fallback>
      </mc:AlternateContent>
    </w:r>
    <w:r>
      <w:rPr>
        <w:rStyle w:val="12"/>
        <w:rFonts w:hint="default"/>
      </w:rPr>
      <w:t>北京国标联合认证有限公司</w:t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</w:p>
  <w:p>
    <w:pPr>
      <w:pStyle w:val="4"/>
      <w:pBdr>
        <w:bottom w:val="single" w:color="auto" w:sz="4" w:space="1"/>
      </w:pBdr>
      <w:spacing w:line="320" w:lineRule="exact"/>
      <w:ind w:firstLine="756" w:firstLineChars="400"/>
      <w:jc w:val="left"/>
    </w:pPr>
    <w:r>
      <w:rPr>
        <w:rStyle w:val="12"/>
        <w:rFonts w:hint="default"/>
        <w:w w:val="90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EC6C60"/>
    <w:multiLevelType w:val="multilevel"/>
    <w:tmpl w:val="31EC6C60"/>
    <w:lvl w:ilvl="0" w:tentative="0">
      <w:start w:val="0"/>
      <w:numFmt w:val="bullet"/>
      <w:lvlText w:val="□"/>
      <w:lvlJc w:val="left"/>
      <w:pPr>
        <w:ind w:left="360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37A16B35"/>
    <w:multiLevelType w:val="multilevel"/>
    <w:tmpl w:val="37A16B35"/>
    <w:lvl w:ilvl="0" w:tentative="0">
      <w:start w:val="0"/>
      <w:numFmt w:val="bullet"/>
      <w:lvlText w:val="-"/>
      <w:lvlJc w:val="left"/>
      <w:pPr>
        <w:ind w:left="360" w:hanging="360"/>
      </w:pPr>
      <w:rPr>
        <w:rFonts w:hint="default" w:ascii="Times New Roman" w:hAnsi="Times New Roman" w:eastAsia="宋体" w:cs="Times New Roman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dhOGY5MzIwYjM5OWFmZGI4MTBhODVhYjUzMzlkOTUifQ=="/>
  </w:docVars>
  <w:rsids>
    <w:rsidRoot w:val="00000000"/>
    <w:rsid w:val="01C269C4"/>
    <w:rsid w:val="03A70538"/>
    <w:rsid w:val="042A443A"/>
    <w:rsid w:val="077E182D"/>
    <w:rsid w:val="078E599E"/>
    <w:rsid w:val="086D1929"/>
    <w:rsid w:val="0CD42337"/>
    <w:rsid w:val="153E69B7"/>
    <w:rsid w:val="15DF0049"/>
    <w:rsid w:val="16822576"/>
    <w:rsid w:val="1C110693"/>
    <w:rsid w:val="1E423D07"/>
    <w:rsid w:val="23B41884"/>
    <w:rsid w:val="277C335E"/>
    <w:rsid w:val="28AC0242"/>
    <w:rsid w:val="290D7153"/>
    <w:rsid w:val="2980317F"/>
    <w:rsid w:val="2C9836C9"/>
    <w:rsid w:val="2F8C6846"/>
    <w:rsid w:val="34830C12"/>
    <w:rsid w:val="3633790B"/>
    <w:rsid w:val="3C6C2882"/>
    <w:rsid w:val="3F3C50C8"/>
    <w:rsid w:val="448410E5"/>
    <w:rsid w:val="49A90BA5"/>
    <w:rsid w:val="539D565D"/>
    <w:rsid w:val="54B47E4E"/>
    <w:rsid w:val="580E0FB2"/>
    <w:rsid w:val="636544CA"/>
    <w:rsid w:val="6B201E3B"/>
    <w:rsid w:val="6CCC5CF4"/>
    <w:rsid w:val="6D4F7375"/>
    <w:rsid w:val="6E392428"/>
    <w:rsid w:val="76B61D75"/>
    <w:rsid w:val="77B53B2E"/>
    <w:rsid w:val="7ABD0D40"/>
    <w:rsid w:val="7CA2150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Strong"/>
    <w:basedOn w:val="7"/>
    <w:qFormat/>
    <w:uiPriority w:val="22"/>
    <w:rPr>
      <w:b/>
      <w:bCs/>
    </w:rPr>
  </w:style>
  <w:style w:type="character" w:customStyle="1" w:styleId="9">
    <w:name w:val="页眉 Char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13">
    <w:name w:val="List Paragraph"/>
    <w:basedOn w:val="1"/>
    <w:qFormat/>
    <w:uiPriority w:val="34"/>
    <w:pPr>
      <w:ind w:firstLine="420" w:firstLineChars="200"/>
    </w:pPr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emf"/><Relationship Id="rId14" Type="http://schemas.openxmlformats.org/officeDocument/2006/relationships/image" Target="media/image10.emf"/><Relationship Id="rId13" Type="http://schemas.openxmlformats.org/officeDocument/2006/relationships/image" Target="media/image9.emf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4219</Words>
  <Characters>4498</Characters>
  <Lines>92</Lines>
  <Paragraphs>26</Paragraphs>
  <TotalTime>77</TotalTime>
  <ScaleCrop>false</ScaleCrop>
  <LinksUpToDate>false</LinksUpToDate>
  <CharactersWithSpaces>5369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丽英</cp:lastModifiedBy>
  <dcterms:modified xsi:type="dcterms:W3CDTF">2022-12-07T08:42:55Z</dcterms:modified>
  <cp:revision>88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5F7C65144C2B4464A3804FF2E286B100</vt:lpwstr>
  </property>
  <property fmtid="{D5CDD505-2E9C-101B-9397-08002B2CF9AE}" pid="3" name="KSOProductBuildVer">
    <vt:lpwstr>2052-11.1.0.10314</vt:lpwstr>
  </property>
</Properties>
</file>