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1255-2022-EnMS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无锡市信谊机械有限公司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无锡市信谊机械有限公司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无锡市惠山区前洲街道北七房村（营业场所：无锡惠山经济开发区前洲配套区新石路2号）</w:t>
            </w:r>
            <w:bookmarkEnd w:id="6"/>
          </w:p>
        </w:tc>
        <w:tc>
          <w:tcPr>
            <w:tcW w:w="1242" w:type="dxa"/>
            <w:vMerge w:val="restart"/>
            <w:vAlign w:val="center"/>
          </w:tcPr>
          <w:p>
            <w:r>
              <w:rPr>
                <w:rFonts w:hint="eastAsia"/>
              </w:rPr>
              <w:t>邮编</w:t>
            </w:r>
          </w:p>
        </w:tc>
        <w:tc>
          <w:tcPr>
            <w:tcW w:w="1771" w:type="dxa"/>
          </w:tcPr>
          <w:p>
            <w:bookmarkStart w:id="7" w:name="注册邮编"/>
            <w:r>
              <w:t>214174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无锡惠山经济开发区前洲配套区新石路2号</w:t>
            </w:r>
            <w:bookmarkEnd w:id="8"/>
          </w:p>
        </w:tc>
        <w:tc>
          <w:tcPr>
            <w:tcW w:w="1242" w:type="dxa"/>
            <w:vMerge w:val="continue"/>
            <w:vAlign w:val="center"/>
          </w:tcPr>
          <w:p/>
        </w:tc>
        <w:tc>
          <w:tcPr>
            <w:tcW w:w="1771" w:type="dxa"/>
          </w:tcPr>
          <w:p>
            <w:bookmarkStart w:id="9" w:name="办公邮编"/>
            <w:r>
              <w:t>214174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华圆</w:t>
            </w:r>
            <w:bookmarkEnd w:id="10"/>
          </w:p>
        </w:tc>
        <w:tc>
          <w:tcPr>
            <w:tcW w:w="1313" w:type="dxa"/>
            <w:vAlign w:val="center"/>
          </w:tcPr>
          <w:p>
            <w:r>
              <w:rPr>
                <w:rFonts w:hint="eastAsia"/>
              </w:rPr>
              <w:t>电话.</w:t>
            </w:r>
          </w:p>
        </w:tc>
        <w:tc>
          <w:tcPr>
            <w:tcW w:w="2180" w:type="dxa"/>
            <w:vAlign w:val="center"/>
          </w:tcPr>
          <w:p>
            <w:bookmarkStart w:id="11" w:name="联系人电话"/>
            <w:r>
              <w:t>13812012818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华振霖</w:t>
            </w:r>
            <w:bookmarkEnd w:id="13"/>
          </w:p>
        </w:tc>
        <w:tc>
          <w:tcPr>
            <w:tcW w:w="1313" w:type="dxa"/>
            <w:vAlign w:val="center"/>
          </w:tcPr>
          <w:p>
            <w:r>
              <w:rPr>
                <w:rFonts w:hint="eastAsia"/>
              </w:rPr>
              <w:t>管理者代表</w:t>
            </w:r>
          </w:p>
        </w:tc>
        <w:tc>
          <w:tcPr>
            <w:tcW w:w="2180" w:type="dxa"/>
          </w:tcPr>
          <w:p>
            <w:bookmarkStart w:id="14" w:name="管理者代表"/>
            <w:r>
              <w:t>华圆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73320" cy="871220"/>
                  <wp:effectExtent l="0" t="0" r="508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73320" cy="871220"/>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2022年11月28日 下午至2022年12月02日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宋体" w:hAnsi="宋体"/>
                <w:b/>
                <w:sz w:val="21"/>
                <w:szCs w:val="21"/>
                <w:lang w:val="de-DE"/>
              </w:rPr>
            </w:pPr>
            <w:r>
              <w:rPr>
                <w:rFonts w:hint="eastAsia"/>
                <w:lang w:val="de-DE"/>
              </w:rPr>
              <w:sym w:font="Wingdings 2" w:char="0052"/>
            </w:r>
            <w:r>
              <w:rPr>
                <w:rFonts w:hint="eastAsia"/>
                <w:lang w:val="de-DE"/>
              </w:rPr>
              <w:t xml:space="preserve">RB/T </w:t>
            </w:r>
            <w:r>
              <w:rPr>
                <w:rFonts w:hint="eastAsia"/>
              </w:rPr>
              <w:t>119-2015 能源管理体系 机械制造企业认证要求</w:t>
            </w:r>
            <w:r>
              <w:rPr>
                <w:rFonts w:hint="eastAsia" w:ascii="宋体" w:hAnsi="宋体"/>
                <w:b/>
                <w:sz w:val="21"/>
                <w:szCs w:val="21"/>
                <w:lang w:val="de-DE"/>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b/>
                <w:color w:val="0000FF"/>
                <w:szCs w:val="21"/>
                <w:lang w:val="en-US" w:eastAsia="zh-CN"/>
              </w:rPr>
            </w:pPr>
            <w:r>
              <w:rPr>
                <w:rFonts w:hint="eastAsia" w:ascii="宋体"/>
                <w:b/>
                <w:color w:val="0000FF"/>
                <w:szCs w:val="21"/>
                <w:lang w:val="en-US" w:eastAsia="zh-CN"/>
              </w:rPr>
              <w:t>河北省石家庄市</w:t>
            </w: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定型及烘干类后整理设备的制造所涉及的能源管理活动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pPr>
              <w:rPr>
                <w:strike/>
                <w:dstrike w:val="0"/>
              </w:rPr>
            </w:pPr>
            <w:r>
              <w:rPr>
                <w:rFonts w:hint="eastAsia"/>
                <w:strike/>
                <w:dstrike w:val="0"/>
              </w:rPr>
              <w:t>管理体系运行已超过3个月</w:t>
            </w:r>
          </w:p>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32"/>
        <w:gridCol w:w="937"/>
        <w:gridCol w:w="1870"/>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32" w:type="dxa"/>
            <w:shd w:val="clear" w:color="auto" w:fill="F3F3F3"/>
            <w:tcMar>
              <w:left w:w="57" w:type="dxa"/>
              <w:right w:w="57" w:type="dxa"/>
            </w:tcMar>
          </w:tcPr>
          <w:p>
            <w:r>
              <w:rPr>
                <w:rFonts w:hint="eastAsia"/>
              </w:rPr>
              <w:t>经营场所的地址</w:t>
            </w:r>
          </w:p>
          <w:p>
            <w:r>
              <w:rPr>
                <w:rFonts w:hint="eastAsia"/>
              </w:rPr>
              <w:t>（多现场和临时现场）</w:t>
            </w:r>
          </w:p>
        </w:tc>
        <w:tc>
          <w:tcPr>
            <w:tcW w:w="937" w:type="dxa"/>
            <w:shd w:val="clear" w:color="auto" w:fill="F3F3F3"/>
            <w:tcMar>
              <w:left w:w="57" w:type="dxa"/>
              <w:right w:w="57" w:type="dxa"/>
            </w:tcMar>
          </w:tcPr>
          <w:p>
            <w:r>
              <w:rPr>
                <w:rFonts w:hint="eastAsia"/>
              </w:rPr>
              <w:t>员工人数</w:t>
            </w:r>
          </w:p>
        </w:tc>
        <w:tc>
          <w:tcPr>
            <w:tcW w:w="187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无锡市信谊机械有限公司</w:t>
            </w:r>
            <w:r>
              <w:rPr>
                <w:rFonts w:hint="eastAsia"/>
                <w:sz w:val="21"/>
                <w:szCs w:val="21"/>
                <w:lang w:val="en-US" w:eastAsia="zh-CN"/>
              </w:rPr>
              <w:t>/</w:t>
            </w:r>
            <w:r>
              <w:rPr>
                <w:sz w:val="21"/>
                <w:szCs w:val="21"/>
              </w:rPr>
              <w:t>无锡市惠山区前洲街道北七房村</w:t>
            </w:r>
            <w:r>
              <w:rPr>
                <w:sz w:val="21"/>
                <w:szCs w:val="21"/>
                <w:highlight w:val="none"/>
              </w:rPr>
              <w:t>（营业场所：无锡惠山经济开发区前洲配套区新石路2号）</w:t>
            </w:r>
          </w:p>
        </w:tc>
        <w:tc>
          <w:tcPr>
            <w:tcW w:w="1732" w:type="dxa"/>
            <w:vAlign w:val="top"/>
          </w:tcPr>
          <w:p>
            <w:pPr>
              <w:spacing w:before="40" w:after="40"/>
              <w:rPr>
                <w:rFonts w:ascii="Times New Roman" w:hAnsi="Times New Roman" w:eastAsia="黑体" w:cs="Times New Roman"/>
                <w:kern w:val="2"/>
                <w:sz w:val="21"/>
                <w:szCs w:val="21"/>
                <w:lang w:val="de-DE" w:eastAsia="ja-JP" w:bidi="ar-SA"/>
              </w:rPr>
            </w:pPr>
            <w:r>
              <w:rPr>
                <w:sz w:val="21"/>
                <w:szCs w:val="21"/>
                <w:highlight w:val="none"/>
              </w:rPr>
              <w:t>营业场所：无锡惠山经济开发区前洲配套区新石路2号</w:t>
            </w:r>
          </w:p>
        </w:tc>
        <w:tc>
          <w:tcPr>
            <w:tcW w:w="937"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US" w:eastAsia="zh-CN" w:bidi="ar-SA"/>
              </w:rPr>
              <w:t>总9</w:t>
            </w:r>
            <w:r>
              <w:rPr>
                <w:rFonts w:hint="eastAsia" w:eastAsia="Times New Roman" w:cs="Times New Roman"/>
                <w:kern w:val="2"/>
                <w:sz w:val="20"/>
                <w:szCs w:val="20"/>
                <w:lang w:val="en-US" w:eastAsia="zh-CN" w:bidi="ar-SA"/>
              </w:rPr>
              <w:t>2</w:t>
            </w:r>
            <w:r>
              <w:rPr>
                <w:rFonts w:hint="eastAsia" w:ascii="Times New Roman" w:hAnsi="Times New Roman" w:eastAsia="Times New Roman" w:cs="Times New Roman"/>
                <w:kern w:val="2"/>
                <w:sz w:val="20"/>
                <w:szCs w:val="20"/>
                <w:lang w:val="en-US" w:eastAsia="zh-CN" w:bidi="ar-SA"/>
              </w:rPr>
              <w:t>人（能源37）</w:t>
            </w:r>
          </w:p>
        </w:tc>
        <w:tc>
          <w:tcPr>
            <w:tcW w:w="1870" w:type="dxa"/>
            <w:vAlign w:val="center"/>
          </w:tcPr>
          <w:p>
            <w:pPr>
              <w:pStyle w:val="23"/>
              <w:rPr>
                <w:rFonts w:ascii="Times New Roman" w:hAnsi="Times New Roman" w:eastAsia="黑体" w:cs="Arial"/>
                <w:kern w:val="2"/>
                <w:sz w:val="21"/>
                <w:szCs w:val="21"/>
                <w:lang w:val="en-US" w:eastAsia="ja-JP" w:bidi="ar-SA"/>
              </w:rPr>
            </w:pPr>
            <w:r>
              <w:t>定型及烘干类后整理设备的制造所涉及的能源管理活动</w:t>
            </w:r>
          </w:p>
        </w:tc>
        <w:tc>
          <w:tcPr>
            <w:tcW w:w="1771" w:type="dxa"/>
            <w:vAlign w:val="center"/>
          </w:tcPr>
          <w:p>
            <w:pPr>
              <w:spacing w:before="40" w:after="40"/>
              <w:rPr>
                <w:rFonts w:hint="eastAsia"/>
                <w:lang w:val="en-US" w:eastAsia="zh-CN"/>
              </w:rPr>
            </w:pPr>
            <w:r>
              <w:rPr>
                <w:rFonts w:hint="eastAsia"/>
                <w:lang w:val="en-US" w:eastAsia="zh-CN"/>
              </w:rPr>
              <w:t>GB/T23331-2020</w:t>
            </w:r>
          </w:p>
          <w:p>
            <w:pPr>
              <w:pStyle w:val="3"/>
              <w:rPr>
                <w:rFonts w:hint="default" w:ascii="Times New Roman" w:hAnsi="Times New Roman" w:eastAsia="宋体" w:cs="Times New Roman"/>
                <w:kern w:val="2"/>
                <w:sz w:val="24"/>
                <w:szCs w:val="24"/>
                <w:lang w:val="en-US" w:eastAsia="ja-JP" w:bidi="ar-SA"/>
              </w:rPr>
            </w:pPr>
            <w:r>
              <w:rPr>
                <w:rFonts w:hint="eastAsia" w:ascii="Times New Roman" w:hAnsi="Times New Roman" w:eastAsia="宋体" w:cs="Times New Roman"/>
                <w:kern w:val="2"/>
                <w:sz w:val="21"/>
                <w:szCs w:val="24"/>
                <w:lang w:val="en-US" w:eastAsia="zh-CN" w:bidi="ar-SA"/>
              </w:rPr>
              <w:t>RB/T119-2015</w:t>
            </w:r>
          </w:p>
        </w:tc>
        <w:tc>
          <w:tcPr>
            <w:tcW w:w="668" w:type="dxa"/>
            <w:shd w:val="clear" w:color="auto" w:fill="FFFFFF"/>
            <w:vAlign w:val="top"/>
          </w:tcPr>
          <w:sdt>
            <w:sdtPr>
              <w:rPr>
                <w:rFonts w:hint="eastAsia" w:ascii="宋体" w:hAnsi="宋体" w:eastAsia="宋体" w:cs="宋体"/>
                <w:szCs w:val="21"/>
              </w:rPr>
              <w:id w:val="271604670"/>
            </w:sdtPr>
            <w:sdtEndPr>
              <w:rPr>
                <w:rFonts w:hint="eastAsia" w:ascii="宋体" w:hAnsi="宋体" w:eastAsia="黑体" w:cs="宋体"/>
                <w:szCs w:val="21"/>
              </w:rPr>
            </w:sdtEndPr>
            <w:sdtContent>
              <w:p>
                <w:pPr>
                  <w:rPr>
                    <w:rFonts w:hint="eastAsia" w:ascii="宋体" w:hAnsi="宋体" w:eastAsia="黑体" w:cs="宋体"/>
                    <w:szCs w:val="21"/>
                  </w:rPr>
                </w:pPr>
                <w:r>
                  <w:rPr>
                    <w:rFonts w:eastAsia="黑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732" w:type="dxa"/>
            <w:vAlign w:val="center"/>
          </w:tcPr>
          <w:p>
            <w:pPr>
              <w:rPr>
                <w:lang w:eastAsia="ja-JP"/>
              </w:rPr>
            </w:pPr>
          </w:p>
        </w:tc>
        <w:tc>
          <w:tcPr>
            <w:tcW w:w="937" w:type="dxa"/>
            <w:vAlign w:val="center"/>
          </w:tcPr>
          <w:p>
            <w:pPr>
              <w:rPr>
                <w:lang w:eastAsia="ja-JP"/>
              </w:rPr>
            </w:pPr>
          </w:p>
        </w:tc>
        <w:tc>
          <w:tcPr>
            <w:tcW w:w="187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32" w:type="dxa"/>
            <w:vAlign w:val="center"/>
          </w:tcPr>
          <w:p>
            <w:pPr>
              <w:rPr>
                <w:lang w:eastAsia="ja-JP"/>
              </w:rPr>
            </w:pPr>
          </w:p>
        </w:tc>
        <w:tc>
          <w:tcPr>
            <w:tcW w:w="937" w:type="dxa"/>
            <w:vAlign w:val="center"/>
          </w:tcPr>
          <w:p>
            <w:pPr>
              <w:rPr>
                <w:lang w:eastAsia="ja-JP"/>
              </w:rPr>
            </w:pPr>
          </w:p>
        </w:tc>
        <w:tc>
          <w:tcPr>
            <w:tcW w:w="187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32" w:type="dxa"/>
            <w:vAlign w:val="center"/>
          </w:tcPr>
          <w:p>
            <w:pPr>
              <w:rPr>
                <w:lang w:eastAsia="ja-JP"/>
              </w:rPr>
            </w:pPr>
          </w:p>
        </w:tc>
        <w:tc>
          <w:tcPr>
            <w:tcW w:w="937" w:type="dxa"/>
            <w:vAlign w:val="center"/>
          </w:tcPr>
          <w:p>
            <w:pPr>
              <w:rPr>
                <w:lang w:eastAsia="ja-JP"/>
              </w:rPr>
            </w:pPr>
          </w:p>
        </w:tc>
        <w:tc>
          <w:tcPr>
            <w:tcW w:w="187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32" w:type="dxa"/>
            <w:vAlign w:val="center"/>
          </w:tcPr>
          <w:p>
            <w:pPr>
              <w:rPr>
                <w:lang w:eastAsia="ja-JP"/>
              </w:rPr>
            </w:pPr>
          </w:p>
        </w:tc>
        <w:tc>
          <w:tcPr>
            <w:tcW w:w="937" w:type="dxa"/>
            <w:vAlign w:val="center"/>
          </w:tcPr>
          <w:p>
            <w:pPr>
              <w:rPr>
                <w:lang w:eastAsia="ja-JP"/>
              </w:rPr>
            </w:pPr>
          </w:p>
        </w:tc>
        <w:tc>
          <w:tcPr>
            <w:tcW w:w="187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262890</wp:posOffset>
                  </wp:positionH>
                  <wp:positionV relativeFrom="paragraph">
                    <wp:posOffset>23495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52"/>
            </w:r>
            <w:r>
              <w:rPr>
                <w:rFonts w:hint="eastAsia"/>
              </w:rPr>
              <w:t>能效监测</w:t>
            </w:r>
            <w:r>
              <w:rPr>
                <w:rFonts w:hint="eastAsia"/>
              </w:rPr>
              <w:sym w:font="Wingdings 2" w:char="0052"/>
            </w:r>
            <w:r>
              <w:rPr>
                <w:rFonts w:hint="eastAsia"/>
              </w:rPr>
              <w:t>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highlight w:val="none"/>
                <w:lang w:val="en-US" w:eastAsia="zh-CN"/>
              </w:rPr>
              <w:t>综合办</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highlight w:val="none"/>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华圆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w:t>
            </w:r>
            <w:r>
              <w:rPr>
                <w:rFonts w:hint="eastAsia"/>
                <w:highlight w:val="none"/>
              </w:rPr>
              <w:sym w:font="Wingdings 2" w:char="00A3"/>
            </w:r>
            <w:r>
              <w:rPr>
                <w:rFonts w:hint="eastAsia"/>
                <w:highlight w:val="none"/>
              </w:rPr>
              <w:t>天然气□燃料油</w:t>
            </w:r>
            <w:r>
              <w:rPr>
                <w:rFonts w:hint="eastAsia"/>
              </w:rPr>
              <w:t>□燃料气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r>
              <w:rPr>
                <w:rFonts w:hint="eastAsia"/>
                <w:lang w:eastAsia="zh-CN"/>
              </w:rPr>
              <w:t>——</w:t>
            </w:r>
            <w:r>
              <w:rPr>
                <w:rFonts w:hint="eastAsia"/>
                <w:lang w:val="en-US" w:eastAsia="zh-CN"/>
              </w:rPr>
              <w:t>生活饮用水</w:t>
            </w:r>
          </w:p>
          <w:p>
            <w:pPr>
              <w:jc w:val="left"/>
              <w:rPr>
                <w:rFonts w:hint="default" w:eastAsia="宋体"/>
                <w:lang w:val="en-US" w:eastAsia="zh-CN"/>
              </w:rPr>
            </w:pPr>
            <w:r>
              <w:rPr>
                <w:rFonts w:hint="eastAsia"/>
              </w:rPr>
              <w:t>□其他</w:t>
            </w:r>
            <w:r>
              <w:rPr>
                <w:rFonts w:hint="eastAsia"/>
                <w:lang w:eastAsia="zh-CN"/>
              </w:rPr>
              <w:t>——</w:t>
            </w:r>
            <w:r>
              <w:rPr>
                <w:rFonts w:hint="eastAsia"/>
                <w:lang w:val="en-US" w:eastAsia="zh-CN"/>
              </w:rPr>
              <w:t>焊接用的气体</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2022.9</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700"/>
              <w:gridCol w:w="1290"/>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70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9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41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综合能耗，</w:t>
                  </w:r>
                  <w:r>
                    <w:rPr>
                      <w:rFonts w:hint="eastAsia" w:ascii="宋体" w:hAnsi="宋体"/>
                      <w:sz w:val="21"/>
                      <w:szCs w:val="21"/>
                      <w:lang w:val="en-US" w:eastAsia="zh-CN"/>
                    </w:rPr>
                    <w:t xml:space="preserve">85 </w:t>
                  </w:r>
                  <w:r>
                    <w:rPr>
                      <w:rFonts w:hint="eastAsia" w:ascii="宋体" w:hAnsi="宋体"/>
                      <w:sz w:val="21"/>
                      <w:szCs w:val="21"/>
                    </w:rPr>
                    <w:t>tce</w:t>
                  </w:r>
                </w:p>
              </w:tc>
              <w:tc>
                <w:tcPr>
                  <w:tcW w:w="270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29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综合办</w:t>
                  </w:r>
                </w:p>
              </w:tc>
              <w:tc>
                <w:tcPr>
                  <w:tcW w:w="2414" w:type="dxa"/>
                  <w:shd w:val="clear" w:color="auto" w:fill="auto"/>
                  <w:vAlign w:val="center"/>
                </w:tcPr>
                <w:p>
                  <w:pPr>
                    <w:jc w:val="center"/>
                    <w:rPr>
                      <w:rFonts w:ascii="宋体" w:hAnsi="宋体" w:eastAsia="宋体" w:cs="Times New Roman"/>
                      <w:kern w:val="2"/>
                      <w:sz w:val="21"/>
                      <w:szCs w:val="24"/>
                      <w:highlight w:val="yellow"/>
                      <w:lang w:val="en-GB" w:eastAsia="zh-CN" w:bidi="ar-SA"/>
                    </w:rPr>
                  </w:pPr>
                  <w:r>
                    <w:rPr>
                      <w:rFonts w:hint="eastAsia" w:ascii="宋体" w:hAnsi="宋体"/>
                      <w:sz w:val="21"/>
                      <w:szCs w:val="21"/>
                      <w:lang w:val="en-US" w:eastAsia="zh-CN"/>
                    </w:rPr>
                    <w:t xml:space="preserve">83.56 </w:t>
                  </w:r>
                  <w:r>
                    <w:rPr>
                      <w:rFonts w:hint="eastAsia" w:ascii="宋体" w:hAnsi="宋体"/>
                      <w:sz w:val="21"/>
                      <w:szCs w:val="21"/>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 xml:space="preserve">0.8 </w:t>
                  </w:r>
                  <w:r>
                    <w:rPr>
                      <w:rFonts w:hint="eastAsia" w:ascii="宋体" w:hAnsi="宋体"/>
                      <w:sz w:val="21"/>
                      <w:szCs w:val="21"/>
                    </w:rPr>
                    <w:t>tce/</w:t>
                  </w:r>
                  <w:r>
                    <w:rPr>
                      <w:rFonts w:hint="eastAsia" w:ascii="宋体" w:hAnsi="宋体"/>
                      <w:sz w:val="21"/>
                      <w:szCs w:val="21"/>
                      <w:lang w:val="en-US" w:eastAsia="zh-CN"/>
                    </w:rPr>
                    <w:t>台</w:t>
                  </w:r>
                </w:p>
              </w:tc>
              <w:tc>
                <w:tcPr>
                  <w:tcW w:w="270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290"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生产部</w:t>
                  </w:r>
                </w:p>
              </w:tc>
              <w:tc>
                <w:tcPr>
                  <w:tcW w:w="2414" w:type="dxa"/>
                  <w:shd w:val="clear" w:color="auto" w:fill="auto"/>
                  <w:vAlign w:val="center"/>
                </w:tcPr>
                <w:p>
                  <w:pPr>
                    <w:jc w:val="center"/>
                    <w:rPr>
                      <w:rFonts w:hint="default" w:ascii="宋体" w:hAnsi="宋体" w:eastAsia="宋体" w:cs="Times New Roman"/>
                      <w:kern w:val="2"/>
                      <w:sz w:val="21"/>
                      <w:szCs w:val="24"/>
                      <w:highlight w:val="yellow"/>
                      <w:lang w:val="en-US" w:eastAsia="zh-CN" w:bidi="ar-SA"/>
                    </w:rPr>
                  </w:pPr>
                  <w:r>
                    <w:rPr>
                      <w:rFonts w:hint="eastAsia" w:ascii="宋体" w:hAnsi="宋体"/>
                      <w:sz w:val="21"/>
                      <w:szCs w:val="21"/>
                      <w:lang w:val="en-US" w:eastAsia="zh-CN"/>
                    </w:rPr>
                    <w:t xml:space="preserve">0.68 </w:t>
                  </w:r>
                  <w:r>
                    <w:rPr>
                      <w:rFonts w:hint="eastAsia" w:ascii="宋体" w:hAnsi="宋体"/>
                      <w:sz w:val="21"/>
                      <w:szCs w:val="21"/>
                    </w:rPr>
                    <w:t>tce/</w:t>
                  </w:r>
                  <w:r>
                    <w:rPr>
                      <w:rFonts w:hint="eastAsia" w:ascii="宋体" w:hAnsi="宋体"/>
                      <w:sz w:val="21"/>
                      <w:szCs w:val="21"/>
                      <w:lang w:val="en-US" w:eastAsia="zh-CN"/>
                    </w:rPr>
                    <w:t>台</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shd w:val="clear" w:color="auto" w:fill="auto"/>
                  <w:vAlign w:val="center"/>
                </w:tcPr>
                <w:p>
                  <w:pPr>
                    <w:jc w:val="left"/>
                  </w:pPr>
                  <w:r>
                    <w:rPr>
                      <w:rFonts w:hint="eastAsia" w:ascii="宋体" w:hAnsi="宋体"/>
                      <w:sz w:val="21"/>
                      <w:szCs w:val="21"/>
                    </w:rPr>
                    <w:t>单位产值综合能耗</w:t>
                  </w:r>
                  <w:r>
                    <w:rPr>
                      <w:rFonts w:hint="eastAsia" w:ascii="宋体" w:hAnsi="宋体"/>
                      <w:sz w:val="21"/>
                      <w:szCs w:val="21"/>
                      <w:lang w:val="en-US" w:eastAsia="zh-CN"/>
                    </w:rPr>
                    <w:t>5.00 kg</w:t>
                  </w:r>
                  <w:r>
                    <w:rPr>
                      <w:rFonts w:hint="eastAsia" w:ascii="宋体" w:hAnsi="宋体"/>
                      <w:sz w:val="21"/>
                      <w:szCs w:val="21"/>
                    </w:rPr>
                    <w:t>ce/万元</w:t>
                  </w:r>
                </w:p>
              </w:tc>
              <w:tc>
                <w:tcPr>
                  <w:tcW w:w="270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提高产品附加值</w:t>
                  </w:r>
                </w:p>
              </w:tc>
              <w:tc>
                <w:tcPr>
                  <w:tcW w:w="129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综合办/生产部</w:t>
                  </w:r>
                </w:p>
              </w:tc>
              <w:tc>
                <w:tcPr>
                  <w:tcW w:w="2414" w:type="dxa"/>
                  <w:shd w:val="clear" w:color="auto" w:fill="auto"/>
                  <w:vAlign w:val="center"/>
                </w:tcPr>
                <w:p>
                  <w:pPr>
                    <w:jc w:val="center"/>
                    <w:rPr>
                      <w:rFonts w:hint="default" w:ascii="宋体" w:hAnsi="宋体"/>
                      <w:lang w:val="en-US"/>
                    </w:rPr>
                  </w:pPr>
                  <w:r>
                    <w:rPr>
                      <w:rFonts w:hint="eastAsia" w:ascii="宋体" w:hAnsi="宋体"/>
                      <w:sz w:val="21"/>
                      <w:szCs w:val="21"/>
                      <w:lang w:val="en-US" w:eastAsia="zh-CN"/>
                    </w:rPr>
                    <w:t>4.64 kg</w:t>
                  </w:r>
                  <w:r>
                    <w:rPr>
                      <w:rFonts w:hint="eastAsia" w:ascii="宋体" w:hAnsi="宋体"/>
                      <w:sz w:val="21"/>
                      <w:szCs w:val="21"/>
                    </w:rPr>
                    <w: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yellow"/>
              </w:rPr>
            </w:pPr>
            <w:r>
              <w:rPr>
                <w:rFonts w:hint="eastAsia"/>
                <w:lang w:val="en-US" w:eastAsia="zh-CN"/>
              </w:rPr>
              <w:t>企业占地78亩（50365平方米）</w:t>
            </w:r>
            <w:r>
              <w:rPr>
                <w:rFonts w:hint="eastAsia"/>
              </w:rPr>
              <w:t>建筑面积</w:t>
            </w:r>
            <w:r>
              <w:rPr>
                <w:rFonts w:hint="eastAsia"/>
                <w:highlight w:val="none"/>
                <w:lang w:val="en-US" w:eastAsia="zh-CN"/>
              </w:rPr>
              <w:t>20000</w:t>
            </w:r>
            <w:r>
              <w:rPr>
                <w:rFonts w:hint="eastAsia"/>
                <w:highlight w:val="none"/>
              </w:rPr>
              <w:t>平方米；生产车间</w:t>
            </w:r>
            <w:r>
              <w:rPr>
                <w:rFonts w:hint="eastAsia"/>
                <w:highlight w:val="none"/>
                <w:lang w:val="en-US" w:eastAsia="zh-CN"/>
              </w:rPr>
              <w:t>2</w:t>
            </w:r>
            <w:r>
              <w:rPr>
                <w:rFonts w:hint="eastAsia"/>
                <w:highlight w:val="none"/>
              </w:rPr>
              <w:t>个</w:t>
            </w:r>
            <w:r>
              <w:rPr>
                <w:rFonts w:hint="eastAsia"/>
                <w:highlight w:val="none"/>
                <w:lang w:eastAsia="zh-CN"/>
              </w:rPr>
              <w:t>（</w:t>
            </w:r>
            <w:r>
              <w:rPr>
                <w:rFonts w:hint="eastAsia"/>
                <w:highlight w:val="none"/>
                <w:lang w:val="en-US" w:eastAsia="zh-CN"/>
              </w:rPr>
              <w:t>下料</w:t>
            </w:r>
            <w:r>
              <w:rPr>
                <w:rFonts w:hint="eastAsia"/>
                <w:sz w:val="21"/>
                <w:szCs w:val="21"/>
                <w:highlight w:val="none"/>
                <w:lang w:val="en-US" w:eastAsia="zh-CN"/>
              </w:rPr>
              <w:t>车间、生产车间</w:t>
            </w:r>
            <w:r>
              <w:rPr>
                <w:rFonts w:hint="eastAsia"/>
                <w:highlight w:val="none"/>
                <w:lang w:eastAsia="zh-CN"/>
              </w:rPr>
              <w:t>）</w:t>
            </w:r>
            <w:r>
              <w:rPr>
                <w:rFonts w:hint="eastAsia"/>
                <w:highlight w:val="none"/>
              </w:rPr>
              <w:t>；库房</w:t>
            </w:r>
            <w:r>
              <w:rPr>
                <w:rFonts w:hint="eastAsia"/>
                <w:highlight w:val="non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在厂房内，包括原料区和产品区</w:t>
            </w:r>
            <w:r>
              <w:rPr>
                <w:rFonts w:hint="eastAsia"/>
                <w:highlight w:val="none"/>
                <w:lang w:eastAsia="zh-CN"/>
              </w:rPr>
              <w:t>）</w:t>
            </w:r>
            <w:r>
              <w:rPr>
                <w:rFonts w:hint="eastAsia"/>
                <w:highlight w:val="none"/>
              </w:rPr>
              <w:t>；实验室</w:t>
            </w:r>
            <w:r>
              <w:rPr>
                <w:rFonts w:hint="eastAsia"/>
                <w:highlight w:val="none"/>
                <w:lang w:val="en-US" w:eastAsia="zh-CN"/>
              </w:rPr>
              <w:t>/</w:t>
            </w:r>
            <w:r>
              <w:rPr>
                <w:rFonts w:hint="eastAsia"/>
                <w:highlight w:val="none"/>
              </w:rPr>
              <w:t>个；</w:t>
            </w:r>
          </w:p>
          <w:p>
            <w:pPr>
              <w:shd w:val="clear" w:color="auto" w:fill="EBF1DE" w:themeFill="accent3" w:themeFillTint="32"/>
              <w:rPr>
                <w:highlight w:val="none"/>
                <w:u w:val="single"/>
              </w:rPr>
            </w:pPr>
            <w:r>
              <w:rPr>
                <w:rFonts w:hint="eastAsia"/>
              </w:rPr>
              <w:t>主要生产设备有：</w:t>
            </w:r>
            <w:r>
              <w:rPr>
                <w:rFonts w:hint="eastAsia"/>
                <w:color w:val="000000"/>
                <w:szCs w:val="22"/>
                <w:highlight w:val="none"/>
                <w:u w:val="single"/>
                <w:lang w:val="en-US" w:eastAsia="zh-CN"/>
              </w:rPr>
              <w:t>数控冲床</w:t>
            </w:r>
            <w:r>
              <w:rPr>
                <w:rFonts w:hint="eastAsia"/>
                <w:color w:val="000000"/>
                <w:szCs w:val="22"/>
                <w:highlight w:val="none"/>
                <w:u w:val="single"/>
              </w:rPr>
              <w:t>、</w:t>
            </w:r>
            <w:r>
              <w:rPr>
                <w:rFonts w:hint="eastAsia"/>
                <w:color w:val="000000"/>
                <w:szCs w:val="22"/>
                <w:highlight w:val="none"/>
                <w:u w:val="single"/>
                <w:lang w:val="en-US" w:eastAsia="zh-CN"/>
              </w:rPr>
              <w:t>激光剪版</w:t>
            </w:r>
            <w:r>
              <w:rPr>
                <w:rFonts w:hint="eastAsia"/>
                <w:color w:val="000000"/>
                <w:szCs w:val="22"/>
                <w:highlight w:val="none"/>
                <w:u w:val="single"/>
              </w:rPr>
              <w:t>机、</w:t>
            </w:r>
            <w:r>
              <w:rPr>
                <w:rFonts w:hint="eastAsia"/>
                <w:color w:val="000000"/>
                <w:szCs w:val="22"/>
                <w:highlight w:val="none"/>
                <w:u w:val="single"/>
                <w:lang w:val="en-US" w:eastAsia="zh-CN"/>
              </w:rPr>
              <w:t>空压机、折弯机等</w:t>
            </w:r>
            <w:r>
              <w:rPr>
                <w:rFonts w:hint="eastAsia"/>
                <w:highlight w:val="none"/>
                <w:u w:val="single"/>
              </w:rPr>
              <w:t>（列举2~4种）</w:t>
            </w:r>
          </w:p>
          <w:p>
            <w:pPr>
              <w:shd w:val="clear" w:color="auto" w:fill="EBF1DE" w:themeFill="accent3" w:themeFillTint="32"/>
              <w:rPr>
                <w:rFonts w:hint="default" w:eastAsia="宋体"/>
                <w:highlight w:val="none"/>
                <w:u w:val="single"/>
                <w:lang w:val="en-US" w:eastAsia="zh-CN"/>
              </w:rPr>
            </w:pPr>
            <w:r>
              <w:rPr>
                <w:rFonts w:hint="eastAsia"/>
                <w:highlight w:val="none"/>
              </w:rPr>
              <w:t>主要耗能设备有：</w:t>
            </w:r>
            <w:r>
              <w:rPr>
                <w:rFonts w:hint="eastAsia"/>
                <w:color w:val="000000"/>
                <w:szCs w:val="22"/>
                <w:highlight w:val="none"/>
                <w:u w:val="single"/>
                <w:lang w:val="en-US" w:eastAsia="zh-CN"/>
              </w:rPr>
              <w:t>数控冲床</w:t>
            </w:r>
            <w:r>
              <w:rPr>
                <w:rFonts w:hint="eastAsia"/>
                <w:color w:val="000000"/>
                <w:szCs w:val="22"/>
                <w:highlight w:val="none"/>
                <w:u w:val="single"/>
              </w:rPr>
              <w:t>、</w:t>
            </w:r>
            <w:r>
              <w:rPr>
                <w:rFonts w:hint="eastAsia"/>
                <w:color w:val="000000"/>
                <w:szCs w:val="22"/>
                <w:highlight w:val="none"/>
                <w:u w:val="single"/>
                <w:lang w:val="en-US" w:eastAsia="zh-CN"/>
              </w:rPr>
              <w:t>空压机、变压器</w:t>
            </w:r>
            <w:r>
              <w:rPr>
                <w:rFonts w:hint="eastAsia"/>
                <w:highlight w:val="none"/>
                <w:u w:val="single"/>
              </w:rPr>
              <w:t>（列举2~4种）</w:t>
            </w:r>
            <w:r>
              <w:rPr>
                <w:rFonts w:hint="eastAsia"/>
                <w:highlight w:val="none"/>
                <w:u w:val="single"/>
                <w:lang w:eastAsia="zh-CN"/>
              </w:rPr>
              <w:t>——</w:t>
            </w:r>
            <w:r>
              <w:rPr>
                <w:rFonts w:hint="eastAsia"/>
                <w:highlight w:val="none"/>
                <w:u w:val="single"/>
                <w:lang w:val="en-US" w:eastAsia="zh-CN"/>
              </w:rPr>
              <w:t>无大于100kw的重点用能设备</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highlight w:val="none"/>
                <w:lang w:val="en-US" w:eastAsia="zh-CN"/>
              </w:rPr>
              <w:t>由供方电力公司和水务公司校验</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color w:val="000000"/>
                <w:szCs w:val="18"/>
                <w:highlight w:val="none"/>
                <w:u w:val="single"/>
                <w:lang w:val="en-US" w:eastAsia="zh-CN"/>
              </w:rPr>
              <w:t>烫光机</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rPr>
                <w:rFonts w:hint="default" w:eastAsia="宋体"/>
                <w:lang w:val="en-US" w:eastAsia="zh-CN"/>
              </w:rPr>
            </w:pPr>
            <w:r>
              <w:rPr>
                <w:rFonts w:hint="eastAsia"/>
              </w:rPr>
              <w:t>设计和开发的节能措施控制：</w:t>
            </w:r>
            <w:r>
              <w:rPr>
                <w:rFonts w:hint="eastAsia"/>
                <w:lang w:val="en-US" w:eastAsia="zh-CN"/>
              </w:rPr>
              <w:t>根据</w:t>
            </w:r>
            <w:r>
              <w:rPr>
                <w:rFonts w:hint="eastAsia" w:ascii="Times New Roman" w:hAnsi="Times New Roman" w:cs="Times New Roman"/>
                <w:lang w:val="en-US" w:eastAsia="zh-CN"/>
              </w:rPr>
              <w:t>客户要求生产一款适用于天然纤维、合成纤维及其混纺织物的机织物、针织物和无纺织物的长环蒸化机，主要作用是使色浆中的燃料经蒸向纤维内部转移达到固色作用。它的效果直接影响到印花后的色泽和鲜艳度，将长环蒸化机和定型机通过程序控制将其同步运转，蒸化好的织物直接进入定型机，最后定型完毕后成卷收卷，利用已有厂房基础设施实施</w:t>
            </w:r>
            <w:r>
              <w:rPr>
                <w:rFonts w:hint="eastAsia"/>
                <w:lang w:val="en-US" w:eastAsia="zh-CN"/>
              </w:rPr>
              <w:t>。</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eastAsia="zh-CN"/>
                    </w:rPr>
                  </w:pPr>
                  <w:r>
                    <w:rPr>
                      <w:rFonts w:hint="eastAsia"/>
                    </w:rPr>
                    <w:t>其他</w:t>
                  </w:r>
                  <w:r>
                    <w:rPr>
                      <w:rFonts w:hint="eastAsia"/>
                      <w:lang w:eastAsia="zh-CN"/>
                    </w:rPr>
                    <w:t>（</w:t>
                  </w:r>
                  <w:r>
                    <w:rPr>
                      <w:rFonts w:hint="eastAsia"/>
                      <w:lang w:val="en-US" w:eastAsia="zh-CN"/>
                    </w:rPr>
                    <w:t>焊接用的氮气、氧气、氩气等</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加强管理，及时控制焊接时间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9</w:t>
            </w:r>
            <w:r>
              <w:rPr>
                <w:rFonts w:hint="eastAsia"/>
                <w:highlight w:val="none"/>
              </w:rPr>
              <w:t>月</w:t>
            </w:r>
            <w:r>
              <w:rPr>
                <w:rFonts w:hint="eastAsia"/>
                <w:highlight w:val="none"/>
                <w:lang w:val="en-US" w:eastAsia="zh-CN"/>
              </w:rPr>
              <w:t>5-6</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highlight w:val="none"/>
                <w:lang w:val="en-US" w:eastAsia="zh-CN"/>
              </w:rPr>
              <w:t>10</w:t>
            </w:r>
            <w:r>
              <w:rPr>
                <w:rFonts w:hint="eastAsia"/>
                <w:highlight w:val="none"/>
              </w:rPr>
              <w:t>月</w:t>
            </w:r>
            <w:r>
              <w:rPr>
                <w:rFonts w:hint="eastAsia"/>
                <w:highlight w:val="none"/>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820"/>
        <w:gridCol w:w="860"/>
        <w:gridCol w:w="810"/>
        <w:gridCol w:w="830"/>
        <w:gridCol w:w="855"/>
        <w:gridCol w:w="779"/>
        <w:gridCol w:w="780"/>
        <w:gridCol w:w="779"/>
        <w:gridCol w:w="6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pPr>
          </w:p>
        </w:tc>
        <w:tc>
          <w:tcPr>
            <w:tcW w:w="860" w:type="dxa"/>
            <w:shd w:val="clear" w:color="auto" w:fill="EBF1DE" w:themeFill="accent3" w:themeFillTint="32"/>
            <w:vAlign w:val="center"/>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pPr>
            <w:r>
              <w:rPr>
                <w:rFonts w:hint="eastAsia"/>
              </w:rPr>
              <w:t>8.3</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E51E6E"/>
    <w:multiLevelType w:val="singleLevel"/>
    <w:tmpl w:val="D0E51E6E"/>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471F8"/>
    <w:rsid w:val="03B943D1"/>
    <w:rsid w:val="093538FD"/>
    <w:rsid w:val="25D30142"/>
    <w:rsid w:val="261E18C5"/>
    <w:rsid w:val="2CF74408"/>
    <w:rsid w:val="45835A92"/>
    <w:rsid w:val="5D113D6F"/>
    <w:rsid w:val="64B418A1"/>
    <w:rsid w:val="676332D3"/>
    <w:rsid w:val="7B1A522E"/>
    <w:rsid w:val="7CE31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4"/>
    </w:rPr>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9</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2022-11-28T15:35:25Z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