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大庆倚天石油科技有限公司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0119-2019-2022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0119-2019-2022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大庆倚天石油科技有限公司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李永福</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ISC-2019-0493</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2024-09-16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2022年11月26日</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ascii="宋体" w:hAnsi="宋体"/>
                <w:szCs w:val="21"/>
              </w:rPr>
              <w:t>焦秀伟</w:t>
            </w:r>
            <w:r>
              <w:rPr>
                <w:rFonts w:ascii="宋体" w:hAnsi="宋体"/>
                <w:color w:val="000000"/>
                <w:szCs w:val="21"/>
                <w:shd w:val="pct10" w:color="auto" w:fill="FFFFFF"/>
              </w:rPr>
              <w:t>2020-M1MMS-1274854</w:t>
            </w:r>
            <w:r>
              <w:rPr>
                <w:rFonts w:hint="eastAsia" w:ascii="宋体" w:hAnsi="宋体"/>
                <w:color w:val="000000"/>
                <w:szCs w:val="21"/>
                <w:shd w:val="pct10" w:color="auto" w:fill="FFFFFF"/>
              </w:rPr>
              <w:t>，</w:t>
            </w:r>
            <w:r>
              <w:rPr>
                <w:rFonts w:hint="eastAsia" w:ascii="宋体" w:hAnsi="宋体"/>
                <w:color w:val="000000"/>
                <w:szCs w:val="21"/>
              </w:rPr>
              <w:t>ISC[S]0204；</w:t>
            </w:r>
            <w:r>
              <w:rPr>
                <w:rFonts w:ascii="宋体" w:hAnsi="宋体"/>
                <w:szCs w:val="21"/>
              </w:rPr>
              <w:t>崔敬民</w:t>
            </w:r>
            <w:r>
              <w:rPr>
                <w:rFonts w:ascii="宋体" w:hAnsi="宋体"/>
                <w:color w:val="000000"/>
                <w:szCs w:val="21"/>
                <w:shd w:val="pct10" w:color="auto" w:fill="FFFFFF"/>
              </w:rPr>
              <w:t>2021-M1MMS-1289340</w:t>
            </w:r>
            <w:r>
              <w:rPr>
                <w:rFonts w:hint="eastAsia" w:ascii="宋体" w:hAnsi="宋体"/>
                <w:color w:val="000000"/>
                <w:szCs w:val="21"/>
                <w:shd w:val="pct10" w:color="auto" w:fill="FFFFFF"/>
              </w:rPr>
              <w:t>，</w:t>
            </w:r>
            <w:r>
              <w:rPr>
                <w:rFonts w:hint="eastAsia" w:ascii="宋体" w:hAnsi="宋体"/>
                <w:color w:val="000000"/>
                <w:szCs w:val="21"/>
              </w:rPr>
              <w:t>ISC-289340</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spacing w:line="300" w:lineRule="auto"/>
              <w:rPr>
                <w:rFonts w:eastAsia="新宋体"/>
                <w:szCs w:val="21"/>
              </w:rPr>
            </w:pPr>
            <w:r>
              <w:rPr>
                <w:szCs w:val="21"/>
              </w:rPr>
              <w:t>管理层</w:t>
            </w:r>
            <w:r>
              <w:rPr>
                <w:rFonts w:hint="eastAsia"/>
                <w:szCs w:val="21"/>
              </w:rPr>
              <w:t>、</w:t>
            </w:r>
            <w:r>
              <w:rPr>
                <w:rFonts w:hint="eastAsia" w:eastAsia="新宋体"/>
                <w:szCs w:val="21"/>
              </w:rPr>
              <w:t>生产技术部</w:t>
            </w:r>
          </w:p>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szCs w:val="21"/>
              </w:rPr>
              <w:t>（生产车间）、</w:t>
            </w:r>
            <w:r>
              <w:rPr>
                <w:rFonts w:hint="eastAsia" w:eastAsia="新宋体"/>
                <w:szCs w:val="21"/>
              </w:rPr>
              <w:t>办公室、供销部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szCs w:val="21"/>
        </w:rPr>
      </w:pPr>
      <w:r>
        <w:rPr>
          <w:rFonts w:hint="eastAsia"/>
          <w:szCs w:val="21"/>
        </w:rPr>
        <w:t>一年来</w:t>
      </w:r>
      <w:r>
        <w:rPr>
          <w:rFonts w:hint="eastAsia"/>
          <w:szCs w:val="21"/>
          <w:lang w:eastAsia="zh-CN"/>
        </w:rPr>
        <w:t>，</w:t>
      </w:r>
      <w:r>
        <w:rPr>
          <w:rFonts w:hint="eastAsia"/>
          <w:szCs w:val="21"/>
        </w:rPr>
        <w:t>公司日常运行中生产经营平稳，企业未有违反法律、法规问题和产品质量问题的投诉或重大质量事故发生。企业营业执照</w:t>
      </w:r>
      <w:r>
        <w:rPr>
          <w:rFonts w:hint="eastAsia"/>
          <w:szCs w:val="21"/>
          <w:lang w:eastAsia="zh-CN"/>
        </w:rPr>
        <w:t>、</w:t>
      </w:r>
      <w:r>
        <w:rPr>
          <w:rFonts w:hint="eastAsia"/>
          <w:szCs w:val="21"/>
        </w:rPr>
        <w:t>企业测量管理体系认证范围无变化。公司一年来重点做了以下工作：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rPr>
        <w:t>2</w:t>
      </w:r>
      <w:r>
        <w:rPr>
          <w:szCs w:val="21"/>
        </w:rPr>
        <w:t>年测量管理体系客户满意度调查工作报告》，顾客满意度为</w:t>
      </w:r>
      <w:r>
        <w:rPr>
          <w:rFonts w:hint="eastAsia"/>
          <w:szCs w:val="21"/>
        </w:rPr>
        <w:t>98</w:t>
      </w:r>
      <w:r>
        <w:rPr>
          <w:rFonts w:hint="eastAsia"/>
          <w:szCs w:val="21"/>
          <w:lang w:val="en-US" w:eastAsia="zh-CN"/>
        </w:rPr>
        <w:t>.2</w:t>
      </w:r>
      <w:r>
        <w:rPr>
          <w:szCs w:val="21"/>
        </w:rPr>
        <w:t>%。已达到目标值。</w:t>
      </w:r>
    </w:p>
    <w:p>
      <w:pPr>
        <w:spacing w:line="360" w:lineRule="auto"/>
        <w:ind w:firstLine="420" w:firstLineChars="200"/>
        <w:rPr>
          <w:szCs w:val="21"/>
        </w:rPr>
      </w:pPr>
      <w:r>
        <w:rPr>
          <w:rFonts w:hint="eastAsia"/>
          <w:kern w:val="0"/>
        </w:rPr>
        <w:t xml:space="preserve">1.2 </w:t>
      </w:r>
      <w:r>
        <w:rPr>
          <w:szCs w:val="21"/>
        </w:rPr>
        <w:t>企业本次无新增关键测量过程。</w:t>
      </w:r>
      <w:r>
        <w:rPr>
          <w:color w:val="auto"/>
          <w:szCs w:val="21"/>
        </w:rPr>
        <w:t>企业共识别</w:t>
      </w:r>
      <w:r>
        <w:rPr>
          <w:rFonts w:hint="eastAsia"/>
          <w:color w:val="auto"/>
          <w:szCs w:val="21"/>
        </w:rPr>
        <w:t>包括“</w:t>
      </w:r>
      <w:r>
        <w:rPr>
          <w:rFonts w:hint="eastAsia" w:ascii="宋体" w:hAnsi="宋体"/>
          <w:color w:val="auto"/>
          <w:szCs w:val="21"/>
          <w:lang w:val="en-US" w:eastAsia="zh-CN"/>
        </w:rPr>
        <w:t>封隔器中心管外径测量</w:t>
      </w:r>
      <w:r>
        <w:rPr>
          <w:rFonts w:hint="eastAsia"/>
          <w:color w:val="auto"/>
          <w:szCs w:val="21"/>
          <w:lang w:eastAsia="zh-CN"/>
        </w:rPr>
        <w:t>”</w:t>
      </w:r>
      <w:r>
        <w:rPr>
          <w:rFonts w:hint="eastAsia"/>
          <w:color w:val="auto"/>
          <w:szCs w:val="21"/>
        </w:rPr>
        <w:t>等</w:t>
      </w:r>
      <w:r>
        <w:rPr>
          <w:rFonts w:hint="eastAsia"/>
          <w:color w:val="auto"/>
          <w:lang w:val="en-US" w:eastAsia="zh-CN"/>
        </w:rPr>
        <w:t>2</w:t>
      </w:r>
      <w:r>
        <w:rPr>
          <w:color w:val="auto"/>
          <w:szCs w:val="21"/>
        </w:rPr>
        <w:t>个关键测量过程。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w:t>
      </w:r>
      <w:r>
        <w:rPr>
          <w:rFonts w:hint="eastAsia"/>
          <w:szCs w:val="21"/>
          <w:lang w:val="en-US" w:eastAsia="zh-CN"/>
        </w:rPr>
        <w:t>2</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1</w:t>
      </w:r>
      <w:r>
        <w:rPr>
          <w:rFonts w:hint="eastAsia"/>
          <w:szCs w:val="21"/>
        </w:rPr>
        <w:t>日组织了公司</w:t>
      </w:r>
      <w:r>
        <w:rPr>
          <w:szCs w:val="21"/>
        </w:rPr>
        <w:t>测量管理体系</w:t>
      </w:r>
      <w:r>
        <w:rPr>
          <w:rFonts w:hint="eastAsia"/>
          <w:szCs w:val="21"/>
          <w:lang w:val="en-US" w:eastAsia="zh-CN"/>
        </w:rPr>
        <w:t>内审</w:t>
      </w:r>
      <w:r>
        <w:rPr>
          <w:szCs w:val="21"/>
        </w:rPr>
        <w:t>，</w:t>
      </w:r>
      <w:r>
        <w:rPr>
          <w:rFonts w:hint="eastAsia"/>
          <w:szCs w:val="21"/>
        </w:rPr>
        <w:t>内审分2个组，对公司领导层及</w:t>
      </w:r>
      <w:r>
        <w:rPr>
          <w:rFonts w:hint="eastAsia"/>
          <w:szCs w:val="21"/>
          <w:lang w:val="en-US" w:eastAsia="zh-CN"/>
        </w:rPr>
        <w:t>3</w:t>
      </w:r>
      <w:r>
        <w:rPr>
          <w:rFonts w:hint="eastAsia"/>
          <w:szCs w:val="21"/>
        </w:rPr>
        <w:t>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7</w:t>
      </w:r>
      <w:r>
        <w:rPr>
          <w:rFonts w:hint="eastAsia"/>
          <w:szCs w:val="21"/>
        </w:rPr>
        <w:t>月</w:t>
      </w:r>
      <w:r>
        <w:rPr>
          <w:rFonts w:hint="eastAsia"/>
          <w:szCs w:val="21"/>
          <w:lang w:val="en-US" w:eastAsia="zh-CN"/>
        </w:rPr>
        <w:t>2</w:t>
      </w:r>
      <w:r>
        <w:rPr>
          <w:rFonts w:hint="eastAsia"/>
          <w:szCs w:val="21"/>
        </w:rPr>
        <w:t>日完成整改。</w:t>
      </w:r>
    </w:p>
    <w:p>
      <w:pPr>
        <w:spacing w:line="360" w:lineRule="auto"/>
        <w:ind w:firstLine="420" w:firstLineChars="200"/>
        <w:rPr>
          <w:szCs w:val="21"/>
        </w:rPr>
      </w:pPr>
      <w:r>
        <w:rPr>
          <w:rFonts w:hint="eastAsia"/>
          <w:szCs w:val="21"/>
        </w:rPr>
        <w:t>2.2管理评审情况：企业于202</w:t>
      </w:r>
      <w:r>
        <w:rPr>
          <w:rFonts w:hint="eastAsia"/>
          <w:szCs w:val="21"/>
          <w:lang w:val="en-US" w:eastAsia="zh-CN"/>
        </w:rPr>
        <w:t>2</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20</w:t>
      </w:r>
      <w:r>
        <w:rPr>
          <w:rFonts w:hint="eastAsia"/>
          <w:szCs w:val="21"/>
        </w:rPr>
        <w:t>日</w:t>
      </w:r>
      <w:r>
        <w:rPr>
          <w:szCs w:val="21"/>
        </w:rPr>
        <w:t>开展</w:t>
      </w:r>
      <w:r>
        <w:rPr>
          <w:rFonts w:hint="eastAsia"/>
          <w:szCs w:val="21"/>
        </w:rPr>
        <w:t>了单体系管理评审，</w:t>
      </w:r>
      <w:r>
        <w:rPr>
          <w:szCs w:val="21"/>
        </w:rPr>
        <w:t>会议由公司</w:t>
      </w:r>
      <w:r>
        <w:rPr>
          <w:color w:val="auto"/>
          <w:szCs w:val="21"/>
        </w:rPr>
        <w:t>总经理</w:t>
      </w:r>
      <w:r>
        <w:rPr>
          <w:rFonts w:hint="eastAsia"/>
          <w:color w:val="auto"/>
          <w:szCs w:val="21"/>
          <w:lang w:val="en-US" w:eastAsia="zh-CN"/>
        </w:rPr>
        <w:t>张晋锋</w:t>
      </w:r>
      <w:r>
        <w:rPr>
          <w:color w:val="auto"/>
          <w:szCs w:val="21"/>
        </w:rPr>
        <w:t>主持，管理者代表</w:t>
      </w:r>
      <w:r>
        <w:rPr>
          <w:rFonts w:hint="eastAsia"/>
          <w:color w:val="auto"/>
          <w:szCs w:val="21"/>
          <w:lang w:val="en-US" w:eastAsia="zh-CN"/>
        </w:rPr>
        <w:t>李永福</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ascii="宋体" w:hAnsi="宋体"/>
          <w:color w:val="auto"/>
          <w:szCs w:val="21"/>
          <w:lang w:val="en-US" w:eastAsia="zh-CN"/>
        </w:rPr>
        <w:t>封隔器中心管外径测量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ascii="宋体" w:hAnsi="宋体"/>
          <w:color w:val="auto"/>
          <w:szCs w:val="21"/>
          <w:lang w:val="en-US" w:eastAsia="zh-CN"/>
        </w:rPr>
        <w:t>封隔器中心管外径测量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color w:val="auto"/>
          <w:szCs w:val="21"/>
        </w:rPr>
      </w:pPr>
      <w:r>
        <w:rPr>
          <w:rFonts w:hint="eastAsia"/>
          <w:szCs w:val="21"/>
        </w:rPr>
        <w:t>c)有效性确认：查</w:t>
      </w:r>
      <w:r>
        <w:rPr>
          <w:rFonts w:hint="eastAsia" w:ascii="宋体" w:hAnsi="宋体"/>
          <w:color w:val="auto"/>
          <w:szCs w:val="21"/>
          <w:lang w:val="en-US" w:eastAsia="zh-CN"/>
        </w:rPr>
        <w:t>封隔器中心管外径测量</w:t>
      </w:r>
      <w:r>
        <w:rPr>
          <w:rFonts w:hint="eastAsia"/>
          <w:color w:val="auto"/>
          <w:szCs w:val="21"/>
        </w:rPr>
        <w:t>过程，</w:t>
      </w:r>
      <w:r>
        <w:rPr>
          <w:rFonts w:hint="eastAsia"/>
          <w:szCs w:val="21"/>
        </w:rPr>
        <w:t>采用游标卡尺进行比对进行有效性确认，满足要求。详见附</w:t>
      </w:r>
      <w:r>
        <w:rPr>
          <w:rFonts w:hint="eastAsia"/>
          <w:szCs w:val="21"/>
          <w:lang w:val="en-US" w:eastAsia="zh-CN"/>
        </w:rPr>
        <w:t>3</w:t>
      </w:r>
      <w:r>
        <w:rPr>
          <w:rFonts w:hint="eastAsia"/>
          <w:szCs w:val="21"/>
        </w:rPr>
        <w:t>《测量过程有效性确认》</w:t>
      </w:r>
    </w:p>
    <w:p>
      <w:pPr>
        <w:spacing w:line="360" w:lineRule="auto"/>
        <w:rPr>
          <w:szCs w:val="21"/>
        </w:rPr>
      </w:pPr>
      <w:r>
        <w:rPr>
          <w:rFonts w:hint="eastAsia"/>
          <w:szCs w:val="21"/>
        </w:rPr>
        <w:t>d)测量过程的控制：查</w:t>
      </w:r>
      <w:r>
        <w:rPr>
          <w:rFonts w:hint="eastAsia" w:ascii="宋体" w:hAnsi="宋体"/>
          <w:color w:val="auto"/>
          <w:szCs w:val="21"/>
          <w:lang w:val="en-US" w:eastAsia="zh-CN"/>
        </w:rPr>
        <w:t>封隔器中心管外径测量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ascii="宋体" w:hAnsi="宋体"/>
          <w:color w:val="auto"/>
          <w:szCs w:val="21"/>
          <w:lang w:val="en-US" w:eastAsia="zh-CN"/>
        </w:rPr>
        <w:t>封隔器中心管外径测量</w:t>
      </w:r>
      <w:r>
        <w:rPr>
          <w:rFonts w:hint="eastAsia"/>
          <w:szCs w:val="21"/>
        </w:rPr>
        <w:t>过程，采用统计技术进行控制和监视测量过程。详见</w:t>
      </w:r>
      <w:r>
        <w:rPr>
          <w:rFonts w:hint="eastAsia"/>
          <w:szCs w:val="21"/>
          <w:lang w:val="en-US" w:eastAsia="zh-CN"/>
        </w:rPr>
        <w:t>附2</w:t>
      </w:r>
      <w:r>
        <w:rPr>
          <w:rFonts w:hint="eastAsia"/>
          <w:szCs w:val="21"/>
        </w:rPr>
        <w:t>《测量过程监视记录</w:t>
      </w:r>
      <w:r>
        <w:rPr>
          <w:rFonts w:hint="eastAsia"/>
          <w:szCs w:val="21"/>
          <w:lang w:val="en-US" w:eastAsia="zh-CN"/>
        </w:rPr>
        <w:t>及质控图</w:t>
      </w:r>
      <w:r>
        <w:rPr>
          <w:rFonts w:hint="eastAsia"/>
          <w:szCs w:val="21"/>
        </w:rPr>
        <w:t>》</w:t>
      </w:r>
    </w:p>
    <w:p>
      <w:pPr>
        <w:spacing w:line="360" w:lineRule="auto"/>
        <w:rPr>
          <w:szCs w:val="21"/>
        </w:rPr>
      </w:pPr>
      <w:r>
        <w:rPr>
          <w:rFonts w:hint="eastAsia"/>
          <w:szCs w:val="21"/>
        </w:rPr>
        <w:t>f)测量设备的溯源：公司未建立最高标准，企业测量设备送</w:t>
      </w:r>
      <w:r>
        <w:rPr>
          <w:rFonts w:hint="eastAsia" w:ascii="Times New Roman" w:hAnsi="Times New Roman" w:eastAsia="宋体" w:cs="Times New Roman"/>
          <w:bCs/>
          <w:color w:val="auto"/>
          <w:szCs w:val="21"/>
          <w:lang w:val="en-US" w:eastAsia="zh-CN"/>
        </w:rPr>
        <w:t>广东精衡检测科技有限公司</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eastAsia="宋体"/>
          <w:lang w:val="en-US" w:eastAsia="zh-CN"/>
        </w:rPr>
        <w:t>22.4</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szCs w:val="21"/>
        </w:rPr>
        <w:t>查2021年外审出具1项不符合项：</w:t>
      </w:r>
      <w:r>
        <w:rPr>
          <w:rFonts w:hint="eastAsia" w:ascii="宋体" w:hAnsi="宋体" w:cs="宋体"/>
          <w:color w:val="auto"/>
          <w:kern w:val="0"/>
          <w:szCs w:val="21"/>
          <w:u w:val="none"/>
          <w:lang w:val="zh-CN" w:eastAsia="zh-CN"/>
        </w:rPr>
        <w:t>生产技术部在用的编号为</w:t>
      </w:r>
      <w:r>
        <w:rPr>
          <w:rFonts w:hint="eastAsia" w:ascii="宋体" w:hAnsi="宋体" w:cs="宋体"/>
          <w:color w:val="auto"/>
          <w:kern w:val="0"/>
          <w:szCs w:val="21"/>
          <w:u w:val="none"/>
          <w:lang w:val="en-US" w:eastAsia="zh-CN"/>
        </w:rPr>
        <w:t>62583528,0-60MPa耐震压力表</w:t>
      </w:r>
      <w:r>
        <w:rPr>
          <w:rFonts w:hint="eastAsia" w:ascii="宋体" w:hAnsi="宋体" w:cs="宋体"/>
          <w:color w:val="auto"/>
          <w:kern w:val="0"/>
          <w:szCs w:val="21"/>
          <w:u w:val="none"/>
          <w:lang w:val="zh-CN" w:eastAsia="zh-CN"/>
        </w:rPr>
        <w:t>校准日期20</w:t>
      </w:r>
      <w:r>
        <w:rPr>
          <w:rFonts w:hint="eastAsia" w:ascii="宋体" w:hAnsi="宋体" w:cs="宋体"/>
          <w:color w:val="auto"/>
          <w:kern w:val="0"/>
          <w:szCs w:val="21"/>
          <w:u w:val="none"/>
          <w:lang w:val="en-US" w:eastAsia="zh-CN"/>
        </w:rPr>
        <w:t>21</w:t>
      </w:r>
      <w:r>
        <w:rPr>
          <w:rFonts w:hint="eastAsia" w:ascii="宋体" w:hAnsi="宋体" w:cs="宋体"/>
          <w:color w:val="auto"/>
          <w:kern w:val="0"/>
          <w:szCs w:val="21"/>
          <w:u w:val="none"/>
          <w:lang w:val="zh-CN" w:eastAsia="zh-CN"/>
        </w:rPr>
        <w:t>.</w:t>
      </w:r>
      <w:r>
        <w:rPr>
          <w:rFonts w:hint="eastAsia" w:ascii="宋体" w:hAnsi="宋体" w:cs="宋体"/>
          <w:color w:val="auto"/>
          <w:kern w:val="0"/>
          <w:szCs w:val="21"/>
          <w:u w:val="none"/>
          <w:lang w:val="en-US" w:eastAsia="zh-CN"/>
        </w:rPr>
        <w:t>8</w:t>
      </w:r>
      <w:r>
        <w:rPr>
          <w:rFonts w:hint="eastAsia" w:ascii="宋体" w:hAnsi="宋体" w:cs="宋体"/>
          <w:color w:val="auto"/>
          <w:kern w:val="0"/>
          <w:szCs w:val="21"/>
          <w:u w:val="none"/>
          <w:lang w:val="zh-CN" w:eastAsia="zh-CN"/>
        </w:rPr>
        <w:t>.</w:t>
      </w:r>
      <w:r>
        <w:rPr>
          <w:rFonts w:hint="eastAsia" w:ascii="宋体" w:hAnsi="宋体" w:cs="宋体"/>
          <w:color w:val="auto"/>
          <w:kern w:val="0"/>
          <w:szCs w:val="21"/>
          <w:u w:val="none"/>
          <w:lang w:val="en-US" w:eastAsia="zh-CN"/>
        </w:rPr>
        <w:t>6。未</w:t>
      </w:r>
      <w:r>
        <w:rPr>
          <w:rFonts w:hint="eastAsia" w:ascii="宋体" w:hAnsi="宋体" w:cs="宋体"/>
          <w:color w:val="auto"/>
          <w:kern w:val="0"/>
          <w:szCs w:val="21"/>
          <w:u w:val="none"/>
          <w:lang w:val="zh-CN" w:eastAsia="zh-CN"/>
        </w:rPr>
        <w:t>粘贴计量确认标识</w:t>
      </w:r>
      <w:r>
        <w:rPr>
          <w:rFonts w:hint="eastAsia" w:ascii="宋体" w:hAnsi="宋体" w:cs="宋体"/>
          <w:color w:val="auto"/>
          <w:kern w:val="0"/>
          <w:szCs w:val="21"/>
          <w:u w:val="none"/>
          <w:lang w:val="en-US" w:eastAsia="zh-CN"/>
        </w:rPr>
        <w:t>。不符合GB/T19022-2003标准6.2.4条款“---应清楚地标识测量管理体系中所有的测量设备和技术程序，可以单独或集中地标识。应有设备计量确认状态的标识。”的规定要求。</w:t>
      </w:r>
      <w:r>
        <w:rPr>
          <w:rFonts w:hint="eastAsia"/>
          <w:bCs/>
          <w:color w:val="auto"/>
          <w:szCs w:val="21"/>
        </w:rPr>
        <w:t>已在现场审核中整改完成，满足标准要求。</w:t>
      </w:r>
      <w:r>
        <w:rPr>
          <w:rFonts w:hint="eastAsia" w:ascii="Times New Roman" w:hAnsi="Times New Roman" w:eastAsia="宋体" w:cs="Times New Roman"/>
          <w:bCs/>
          <w:color w:val="auto"/>
          <w:szCs w:val="21"/>
          <w:highlight w:val="none"/>
        </w:rPr>
        <w:t>本次审核出具不符合项一项</w:t>
      </w:r>
      <w:r>
        <w:rPr>
          <w:rFonts w:hint="eastAsia" w:ascii="Times New Roman" w:hAnsi="Times New Roman" w:eastAsia="宋体" w:cs="Times New Roman"/>
          <w:bCs/>
          <w:color w:val="auto"/>
          <w:szCs w:val="21"/>
          <w:highlight w:val="none"/>
          <w:lang w:eastAsia="zh-CN"/>
        </w:rPr>
        <w:t>：</w:t>
      </w:r>
      <w:r>
        <w:rPr>
          <w:rFonts w:hint="eastAsia" w:ascii="宋体" w:hAnsi="宋体" w:cs="宋体"/>
          <w:b w:val="0"/>
          <w:bCs w:val="0"/>
          <w:color w:val="000000"/>
          <w:kern w:val="0"/>
          <w:szCs w:val="21"/>
          <w:lang w:eastAsia="zh-CN"/>
        </w:rPr>
        <w:t>查在</w:t>
      </w:r>
      <w:r>
        <w:rPr>
          <w:rFonts w:hint="eastAsia" w:ascii="宋体" w:cs="宋体"/>
          <w:b w:val="0"/>
          <w:bCs w:val="0"/>
          <w:color w:val="000000"/>
          <w:kern w:val="0"/>
          <w:szCs w:val="21"/>
        </w:rPr>
        <w:t>测量设备台账</w:t>
      </w:r>
      <w:r>
        <w:rPr>
          <w:rFonts w:hint="eastAsia" w:ascii="宋体" w:cs="宋体"/>
          <w:b w:val="0"/>
          <w:bCs w:val="0"/>
          <w:color w:val="000000"/>
          <w:kern w:val="0"/>
          <w:szCs w:val="21"/>
          <w:lang w:eastAsia="zh-CN"/>
        </w:rPr>
        <w:t>中，</w:t>
      </w:r>
      <w:r>
        <w:rPr>
          <w:rFonts w:hint="eastAsia" w:ascii="宋体" w:hAnsi="宋体" w:cs="宋体"/>
          <w:b w:val="0"/>
          <w:bCs w:val="0"/>
          <w:color w:val="000000"/>
          <w:kern w:val="0"/>
          <w:szCs w:val="21"/>
          <w:lang w:eastAsia="zh-CN"/>
        </w:rPr>
        <w:t>没有提供出厂编号为</w:t>
      </w:r>
      <w:r>
        <w:rPr>
          <w:rFonts w:hint="eastAsia" w:ascii="宋体" w:hAnsi="宋体" w:eastAsia="宋体" w:cs="宋体"/>
          <w:b w:val="0"/>
          <w:bCs w:val="0"/>
          <w:color w:val="000000"/>
          <w:kern w:val="0"/>
          <w:szCs w:val="21"/>
          <w:lang w:val="en-US" w:eastAsia="zh-CN"/>
        </w:rPr>
        <w:t>9853</w:t>
      </w:r>
      <w:r>
        <w:rPr>
          <w:rFonts w:hint="eastAsia" w:ascii="宋体" w:hAnsi="宋体" w:cs="宋体"/>
          <w:b w:val="0"/>
          <w:bCs w:val="0"/>
          <w:color w:val="000000"/>
          <w:kern w:val="0"/>
          <w:szCs w:val="21"/>
          <w:lang w:val="en-US" w:eastAsia="zh-CN"/>
        </w:rPr>
        <w:t>31</w:t>
      </w:r>
      <w:r>
        <w:rPr>
          <w:rFonts w:hint="eastAsia" w:ascii="宋体" w:hAnsi="宋体" w:eastAsia="宋体" w:cs="宋体"/>
          <w:b w:val="0"/>
          <w:bCs w:val="0"/>
          <w:color w:val="000000"/>
          <w:kern w:val="0"/>
          <w:szCs w:val="21"/>
          <w:lang w:val="en-US" w:eastAsia="zh-CN"/>
        </w:rPr>
        <w:t>的角度尺</w:t>
      </w:r>
      <w:r>
        <w:rPr>
          <w:rFonts w:hint="eastAsia" w:ascii="宋体" w:hAnsi="宋体" w:cs="宋体"/>
          <w:b w:val="0"/>
          <w:bCs w:val="0"/>
          <w:color w:val="000000"/>
          <w:kern w:val="0"/>
          <w:szCs w:val="21"/>
          <w:lang w:eastAsia="zh-CN"/>
        </w:rPr>
        <w:t>建账管理的证据。不符合</w:t>
      </w:r>
      <w:r>
        <w:rPr>
          <w:rFonts w:hint="eastAsia" w:ascii="宋体" w:hAnsi="宋体" w:cs="宋体"/>
          <w:b w:val="0"/>
          <w:bCs w:val="0"/>
          <w:color w:val="000000"/>
          <w:kern w:val="0"/>
          <w:szCs w:val="21"/>
          <w:lang w:val="en-US" w:eastAsia="zh-CN"/>
        </w:rPr>
        <w:t>GB/T 19022-2003标准的6.3.1条款测量设备的规定要求。</w:t>
      </w:r>
      <w:r>
        <w:rPr>
          <w:rFonts w:hint="eastAsia" w:ascii="Times New Roman" w:hAnsi="Times New Roman" w:eastAsia="宋体" w:cs="Times New Roman"/>
          <w:bCs/>
          <w:color w:val="auto"/>
          <w:szCs w:val="21"/>
          <w:highlight w:val="none"/>
        </w:rPr>
        <w:t>未发现严重不符合情况</w:t>
      </w:r>
      <w:r>
        <w:rPr>
          <w:rFonts w:hint="eastAsia" w:ascii="Times New Roman" w:hAnsi="Times New Roman" w:eastAsia="宋体" w:cs="Times New Roman"/>
          <w:bCs/>
          <w:color w:val="auto"/>
          <w:szCs w:val="21"/>
          <w:highlight w:val="none"/>
          <w:lang w:eastAsia="zh-CN"/>
        </w:rPr>
        <w:t>。</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pPr>
        <w:spacing w:line="360" w:lineRule="auto"/>
        <w:rPr>
          <w:szCs w:val="21"/>
        </w:rPr>
      </w:pPr>
      <w:r>
        <w:rPr>
          <w:rFonts w:hint="eastAsia"/>
          <w:b/>
          <w:bCs/>
          <w:szCs w:val="21"/>
        </w:rPr>
        <w:t>8.企业营业执照和组织机构未发生变化。</w:t>
      </w:r>
    </w:p>
    <w:p>
      <w:pPr>
        <w:rPr>
          <w:szCs w:val="21"/>
        </w:rPr>
      </w:pPr>
      <w:r>
        <w:rPr>
          <w:rFonts w:hint="eastAsia"/>
          <w:szCs w:val="21"/>
        </w:rPr>
        <w:t>企业营业执照</w:t>
      </w:r>
      <w:r>
        <w:rPr>
          <w:rFonts w:hint="eastAsia"/>
          <w:szCs w:val="21"/>
          <w:lang w:eastAsia="zh-CN"/>
        </w:rPr>
        <w:t>、</w:t>
      </w:r>
      <w:r>
        <w:rPr>
          <w:rFonts w:hint="eastAsia"/>
          <w:szCs w:val="21"/>
        </w:rPr>
        <w:t>企业测量管理体系认证范围无变化。</w:t>
      </w:r>
    </w:p>
    <w:p>
      <w:pPr>
        <w:spacing w:line="360" w:lineRule="auto"/>
        <w:rPr>
          <w:b/>
          <w:bCs/>
          <w:szCs w:val="21"/>
        </w:rPr>
      </w:pPr>
      <w:r>
        <w:rPr>
          <w:rFonts w:hint="eastAsia"/>
          <w:b/>
          <w:bCs/>
          <w:szCs w:val="21"/>
        </w:rPr>
        <w:t>9.标志的使用和（或）任何其他对认证资格引用的情况：</w:t>
      </w:r>
    </w:p>
    <w:p>
      <w:pPr>
        <w:spacing w:line="360" w:lineRule="auto"/>
        <w:rPr>
          <w:szCs w:val="21"/>
        </w:rPr>
      </w:pPr>
      <w:r>
        <w:rPr>
          <w:rFonts w:hint="eastAsia"/>
          <w:szCs w:val="21"/>
        </w:rPr>
        <w:t>用于企业的形象宣传。</w:t>
      </w:r>
    </w:p>
    <w:p>
      <w:pPr>
        <w:numPr>
          <w:ilvl w:val="0"/>
          <w:numId w:val="1"/>
        </w:numPr>
        <w:spacing w:line="360" w:lineRule="auto"/>
        <w:rPr>
          <w:b/>
          <w:bCs/>
          <w:szCs w:val="21"/>
        </w:rPr>
      </w:pPr>
      <w:r>
        <w:rPr>
          <w:rFonts w:hint="eastAsia"/>
          <w:b/>
          <w:bCs/>
          <w:szCs w:val="21"/>
        </w:rPr>
        <w:t>产品的销售：</w:t>
      </w:r>
    </w:p>
    <w:p>
      <w:pPr>
        <w:spacing w:line="360" w:lineRule="auto"/>
        <w:ind w:firstLine="420" w:firstLineChars="200"/>
        <w:rPr>
          <w:rFonts w:hint="eastAsia"/>
          <w:color w:val="auto"/>
          <w:szCs w:val="21"/>
        </w:rPr>
      </w:pPr>
      <w:r>
        <w:rPr>
          <w:rFonts w:hint="eastAsia"/>
          <w:color w:val="auto"/>
          <w:szCs w:val="21"/>
        </w:rPr>
        <w:t>抽查公司</w:t>
      </w:r>
      <w:r>
        <w:rPr>
          <w:rFonts w:hint="eastAsia"/>
          <w:color w:val="auto"/>
          <w:szCs w:val="21"/>
          <w:lang w:val="en-US" w:eastAsia="zh-CN"/>
        </w:rPr>
        <w:t>加工定作</w:t>
      </w:r>
      <w:r>
        <w:rPr>
          <w:rFonts w:hint="eastAsia"/>
          <w:color w:val="auto"/>
          <w:szCs w:val="21"/>
        </w:rPr>
        <w:t>合同，合同编号</w:t>
      </w:r>
      <w:r>
        <w:rPr>
          <w:rFonts w:hint="eastAsia"/>
          <w:color w:val="auto"/>
          <w:szCs w:val="21"/>
          <w:lang w:val="en-US" w:eastAsia="zh-CN"/>
        </w:rPr>
        <w:t>：DQYT-0506003-2022-GL-1728</w:t>
      </w:r>
      <w:r>
        <w:rPr>
          <w:rFonts w:hint="eastAsia"/>
          <w:color w:val="auto"/>
          <w:szCs w:val="21"/>
        </w:rPr>
        <w:t>，签订日期202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6</w:t>
      </w:r>
      <w:r>
        <w:rPr>
          <w:rFonts w:hint="eastAsia"/>
          <w:color w:val="auto"/>
          <w:szCs w:val="21"/>
        </w:rPr>
        <w:t>月</w:t>
      </w:r>
      <w:r>
        <w:rPr>
          <w:rFonts w:hint="eastAsia"/>
          <w:color w:val="auto"/>
          <w:szCs w:val="21"/>
          <w:lang w:val="en-US" w:eastAsia="zh-CN"/>
        </w:rPr>
        <w:t>14</w:t>
      </w:r>
      <w:r>
        <w:rPr>
          <w:rFonts w:hint="eastAsia"/>
          <w:color w:val="auto"/>
          <w:szCs w:val="21"/>
        </w:rPr>
        <w:t>日，顾客单位：</w:t>
      </w:r>
      <w:r>
        <w:rPr>
          <w:rFonts w:hint="eastAsia"/>
          <w:color w:val="auto"/>
          <w:szCs w:val="21"/>
          <w:lang w:val="en-US" w:eastAsia="zh-CN"/>
        </w:rPr>
        <w:t>大庆油田有限责任公司</w:t>
      </w:r>
      <w:r>
        <w:rPr>
          <w:rFonts w:hint="eastAsia"/>
          <w:color w:val="auto"/>
          <w:szCs w:val="21"/>
        </w:rPr>
        <w:t>，产品名称：</w:t>
      </w:r>
      <w:r>
        <w:rPr>
          <w:rFonts w:hint="eastAsia"/>
          <w:color w:val="auto"/>
          <w:szCs w:val="21"/>
          <w:lang w:val="en-US" w:eastAsia="zh-CN"/>
        </w:rPr>
        <w:t>石油钻采专用设备及配件</w:t>
      </w:r>
      <w:r>
        <w:rPr>
          <w:rFonts w:hint="eastAsia"/>
          <w:color w:val="auto"/>
          <w:szCs w:val="21"/>
        </w:rPr>
        <w:t>，公司对应的产品生产过程涉及有对应的测量过程和测量设备，测量设备的配备可满足该合同生产和检验要求。</w:t>
      </w:r>
    </w:p>
    <w:p>
      <w:pPr>
        <w:spacing w:line="360" w:lineRule="auto"/>
        <w:rPr>
          <w:b/>
          <w:bCs/>
          <w:szCs w:val="21"/>
        </w:rPr>
      </w:pPr>
      <w:bookmarkStart w:id="11" w:name="_GoBack"/>
      <w:bookmarkEnd w:id="11"/>
      <w:r>
        <w:rPr>
          <w:rFonts w:hint="eastAsia"/>
          <w:b/>
          <w:bCs/>
          <w:szCs w:val="21"/>
        </w:rPr>
        <w:t>三、监督审核结论意见(含需要说明的事项):</w:t>
      </w:r>
    </w:p>
    <w:p>
      <w:pPr>
        <w:spacing w:line="360" w:lineRule="auto"/>
        <w:ind w:firstLine="420" w:firstLineChars="200"/>
        <w:rPr>
          <w:szCs w:val="21"/>
        </w:rPr>
      </w:pPr>
      <w:r>
        <w:rPr>
          <w:rFonts w:hint="eastAsia"/>
          <w:szCs w:val="21"/>
        </w:rPr>
        <w:t>通过2022年</w:t>
      </w:r>
      <w:r>
        <w:rPr>
          <w:rFonts w:hint="eastAsia"/>
          <w:szCs w:val="21"/>
          <w:lang w:val="en-US" w:eastAsia="zh-CN"/>
        </w:rPr>
        <w:t>11</w:t>
      </w:r>
      <w:r>
        <w:rPr>
          <w:rFonts w:hint="eastAsia"/>
          <w:szCs w:val="21"/>
        </w:rPr>
        <w:t>月</w:t>
      </w:r>
      <w:r>
        <w:rPr>
          <w:rFonts w:hint="eastAsia"/>
          <w:szCs w:val="21"/>
          <w:lang w:val="en-US" w:eastAsia="zh-CN"/>
        </w:rPr>
        <w:t>26</w:t>
      </w:r>
      <w:r>
        <w:rPr>
          <w:rFonts w:hint="eastAsia"/>
          <w:szCs w:val="21"/>
        </w:rPr>
        <w:t>日，利用1天的时间，对</w:t>
      </w:r>
      <w:r>
        <w:rPr>
          <w:szCs w:val="21"/>
        </w:rPr>
        <w:t>大庆倚天石油科技有限公司</w:t>
      </w:r>
      <w:r>
        <w:rPr>
          <w:rFonts w:hint="eastAsia"/>
          <w:szCs w:val="21"/>
        </w:rPr>
        <w:t>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w:t>
      </w:r>
      <w:r>
        <w:rPr>
          <w:szCs w:val="21"/>
        </w:rPr>
        <w:t>大庆倚天石油科技有限公司</w:t>
      </w:r>
      <w:r>
        <w:rPr>
          <w:rFonts w:hint="eastAsia"/>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kern w:val="0"/>
          <w:szCs w:val="21"/>
        </w:rPr>
        <w:t>日期：</w:t>
      </w:r>
      <w:r>
        <w:rPr>
          <w:rFonts w:hint="eastAsia" w:ascii="宋体" w:hAnsi="宋体" w:eastAsia="宋体" w:cs="宋体"/>
          <w:kern w:val="0"/>
          <w:szCs w:val="21"/>
        </w:rPr>
        <w:t>2022.</w:t>
      </w:r>
      <w:r>
        <w:rPr>
          <w:rFonts w:hint="eastAsia" w:ascii="宋体" w:hAnsi="宋体" w:eastAsia="宋体" w:cs="宋体"/>
          <w:kern w:val="0"/>
          <w:szCs w:val="21"/>
          <w:lang w:val="en-US" w:eastAsia="zh-CN"/>
        </w:rPr>
        <w:t>11</w:t>
      </w:r>
      <w:r>
        <w:rPr>
          <w:rFonts w:hint="eastAsia" w:ascii="宋体" w:hAnsi="宋体" w:eastAsia="宋体" w:cs="宋体"/>
          <w:kern w:val="0"/>
          <w:szCs w:val="21"/>
        </w:rPr>
        <w:t>.</w:t>
      </w:r>
      <w:r>
        <w:rPr>
          <w:rFonts w:hint="eastAsia" w:ascii="宋体" w:hAnsi="宋体" w:eastAsia="宋体" w:cs="宋体"/>
          <w:kern w:val="0"/>
          <w:szCs w:val="21"/>
          <w:lang w:val="en-US" w:eastAsia="zh-CN"/>
        </w:rPr>
        <w:t>26</w:t>
      </w:r>
    </w:p>
    <w:p>
      <w:pPr>
        <w:widowControl/>
        <w:spacing w:line="360" w:lineRule="auto"/>
        <w:jc w:val="left"/>
        <w:rPr>
          <w:rFonts w:hint="default" w:ascii="宋体" w:hAnsi="宋体" w:eastAsia="宋体" w:cs="宋体"/>
          <w:kern w:val="0"/>
          <w:szCs w:val="28"/>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lang w:val="en-US" w:eastAsia="zh-CN"/>
        </w:rPr>
        <w:t xml:space="preserve">  </w:t>
      </w:r>
      <w:r>
        <w:rPr>
          <w:rFonts w:hint="eastAsia" w:ascii="宋体" w:hAnsi="宋体" w:cs="宋体"/>
          <w:kern w:val="0"/>
          <w:szCs w:val="21"/>
        </w:rPr>
        <w:drawing>
          <wp:inline distT="0" distB="0" distL="114300" distR="114300">
            <wp:extent cx="711835" cy="254000"/>
            <wp:effectExtent l="0" t="0" r="4445" b="5080"/>
            <wp:docPr id="3" name="图片 1" descr="d1db79412b04e1d43d231eddf40d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1db79412b04e1d43d231eddf40d44e"/>
                    <pic:cNvPicPr>
                      <a:picLocks noChangeAspect="1"/>
                    </pic:cNvPicPr>
                  </pic:nvPicPr>
                  <pic:blipFill>
                    <a:blip r:embed="rId7" cstate="print"/>
                    <a:stretch>
                      <a:fillRect/>
                    </a:stretch>
                  </pic:blipFill>
                  <pic:spPr>
                    <a:xfrm>
                      <a:off x="0" y="0"/>
                      <a:ext cx="711835" cy="25400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color w:val="000000"/>
          <w:kern w:val="0"/>
          <w:szCs w:val="21"/>
        </w:rPr>
        <w:t>日期：</w:t>
      </w:r>
      <w:r>
        <w:rPr>
          <w:rFonts w:hint="eastAsia" w:ascii="宋体" w:hAnsi="宋体" w:eastAsia="宋体" w:cs="宋体"/>
          <w:color w:val="000000"/>
          <w:kern w:val="0"/>
          <w:szCs w:val="21"/>
        </w:rPr>
        <w:t>2022.</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26</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2AD19"/>
    <w:multiLevelType w:val="singleLevel"/>
    <w:tmpl w:val="CEB2AD19"/>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yYjVhOTAxNzBmNGJhZTc2N2FkNjI4YTE0YzE3ZjMifQ=="/>
  </w:docVars>
  <w:rsids>
    <w:rsidRoot w:val="00000000"/>
    <w:rsid w:val="2B415BA9"/>
    <w:rsid w:val="5CC34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2120</Words>
  <Characters>2435</Characters>
  <Lines>15</Lines>
  <Paragraphs>4</Paragraphs>
  <TotalTime>1</TotalTime>
  <ScaleCrop>false</ScaleCrop>
  <LinksUpToDate>false</LinksUpToDate>
  <CharactersWithSpaces>2486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2022-11-26T12:17:57Z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291B13077C3D459C98BA215DE452A39E</vt:lpwstr>
  </property>
</Properties>
</file>