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大庆中达机械设备有限公司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0118-2019-2022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0118-2019-2022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大庆中达机械设备有限公司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谭福利</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2022年11月25日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268" w:type="dxa"/>
            <w:vAlign w:val="top"/>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年测量管理体系客户满意度调查工作报告》，顾客满意度为</w:t>
      </w:r>
      <w:r>
        <w:rPr>
          <w:rFonts w:hint="eastAsia"/>
          <w:szCs w:val="21"/>
        </w:rPr>
        <w:t>98</w:t>
      </w:r>
      <w:r>
        <w:rPr>
          <w:rFonts w:hint="eastAsia"/>
          <w:szCs w:val="21"/>
          <w:lang w:val="en-US" w:eastAsia="zh-CN"/>
        </w:rPr>
        <w:t>.6</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w:t>
      </w:r>
      <w:r>
        <w:rPr>
          <w:color w:val="auto"/>
          <w:szCs w:val="21"/>
        </w:rPr>
        <w:t>企业共识别</w:t>
      </w:r>
      <w:r>
        <w:rPr>
          <w:rFonts w:hint="eastAsia"/>
          <w:color w:val="auto"/>
          <w:szCs w:val="21"/>
        </w:rPr>
        <w:t>包括“</w:t>
      </w:r>
      <w:r>
        <w:rPr>
          <w:rFonts w:hint="eastAsia" w:ascii="Calibri" w:hAnsi="Calibri" w:eastAsia="宋体" w:cs="Times New Roman"/>
          <w:color w:val="auto"/>
          <w:sz w:val="21"/>
          <w:szCs w:val="21"/>
          <w:lang w:val="en-US" w:eastAsia="zh-CN"/>
        </w:rPr>
        <w:t>配水器水压密封试验</w:t>
      </w:r>
      <w:r>
        <w:rPr>
          <w:rFonts w:hint="eastAsia"/>
          <w:color w:val="auto"/>
          <w:szCs w:val="21"/>
        </w:rPr>
        <w:t>”</w:t>
      </w:r>
      <w:r>
        <w:rPr>
          <w:rFonts w:hint="eastAsia"/>
          <w:color w:val="auto"/>
          <w:szCs w:val="21"/>
          <w:lang w:eastAsia="zh-CN"/>
        </w:rPr>
        <w:t>、“</w:t>
      </w:r>
      <w:r>
        <w:rPr>
          <w:rFonts w:hint="eastAsia"/>
          <w:color w:val="auto"/>
          <w:lang w:val="en-US" w:eastAsia="zh-CN"/>
        </w:rPr>
        <w:t>井口法兰密封槽外径测量</w:t>
      </w:r>
      <w:r>
        <w:rPr>
          <w:rFonts w:hint="eastAsia"/>
          <w:color w:val="auto"/>
          <w:szCs w:val="21"/>
          <w:lang w:eastAsia="zh-CN"/>
        </w:rPr>
        <w:t>”</w:t>
      </w:r>
      <w:r>
        <w:rPr>
          <w:rFonts w:hint="eastAsia"/>
          <w:color w:val="auto"/>
          <w:szCs w:val="21"/>
        </w:rPr>
        <w:t>等</w:t>
      </w:r>
      <w:r>
        <w:rPr>
          <w:rFonts w:hint="eastAsia"/>
          <w:color w:val="auto"/>
          <w:lang w:val="en-US" w:eastAsia="zh-CN"/>
        </w:rPr>
        <w:t>2</w:t>
      </w:r>
      <w:r>
        <w:rPr>
          <w:color w:val="auto"/>
          <w:szCs w:val="21"/>
        </w:rPr>
        <w:t>个关键测量过程。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10</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w:t>
      </w:r>
      <w:r>
        <w:rPr>
          <w:rFonts w:hint="eastAsia"/>
          <w:szCs w:val="21"/>
          <w:lang w:val="en-US" w:eastAsia="zh-CN"/>
        </w:rPr>
        <w:t>3</w:t>
      </w:r>
      <w:r>
        <w:rPr>
          <w:rFonts w:hint="eastAsia"/>
          <w:szCs w:val="21"/>
        </w:rPr>
        <w:t>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7</w:t>
      </w:r>
      <w:r>
        <w:rPr>
          <w:rFonts w:hint="eastAsia"/>
          <w:szCs w:val="21"/>
        </w:rPr>
        <w:t>月</w:t>
      </w:r>
      <w:r>
        <w:rPr>
          <w:rFonts w:hint="eastAsia"/>
          <w:szCs w:val="21"/>
          <w:lang w:val="en-US" w:eastAsia="zh-CN"/>
        </w:rPr>
        <w:t>11</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30</w:t>
      </w:r>
      <w:r>
        <w:rPr>
          <w:rFonts w:hint="eastAsia"/>
          <w:szCs w:val="21"/>
        </w:rPr>
        <w:t>日</w:t>
      </w:r>
      <w:r>
        <w:rPr>
          <w:szCs w:val="21"/>
        </w:rPr>
        <w:t>开展</w:t>
      </w:r>
      <w:r>
        <w:rPr>
          <w:rFonts w:hint="eastAsia"/>
          <w:szCs w:val="21"/>
        </w:rPr>
        <w:t>了单体系管理评审，</w:t>
      </w:r>
      <w:r>
        <w:rPr>
          <w:szCs w:val="21"/>
        </w:rPr>
        <w:t>会议由公司</w:t>
      </w:r>
      <w:r>
        <w:rPr>
          <w:color w:val="auto"/>
          <w:szCs w:val="21"/>
        </w:rPr>
        <w:t>总经理</w:t>
      </w:r>
      <w:r>
        <w:rPr>
          <w:rFonts w:hint="eastAsia" w:cs="宋体" w:asciiTheme="minorEastAsia" w:hAnsiTheme="minorEastAsia"/>
          <w:bCs/>
          <w:color w:val="auto"/>
          <w:kern w:val="0"/>
          <w:szCs w:val="21"/>
          <w:lang w:val="en-US" w:eastAsia="zh-CN"/>
        </w:rPr>
        <w:t>钱鑫主持，由管理者代表谭福利</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lang w:val="en-US" w:eastAsia="zh-CN"/>
        </w:rPr>
        <w:t>井口法兰密封槽外径测量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lang w:val="en-US" w:eastAsia="zh-CN"/>
        </w:rPr>
        <w:t>井口法兰密封槽外径测量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color w:val="auto"/>
          <w:szCs w:val="21"/>
        </w:rPr>
      </w:pPr>
      <w:r>
        <w:rPr>
          <w:rFonts w:hint="eastAsia"/>
          <w:szCs w:val="21"/>
        </w:rPr>
        <w:t>c)有效性确认：查</w:t>
      </w:r>
      <w:r>
        <w:rPr>
          <w:rFonts w:hint="eastAsia"/>
          <w:color w:val="auto"/>
          <w:lang w:val="en-US" w:eastAsia="zh-CN"/>
        </w:rPr>
        <w:t>井口法兰密封槽外径测量</w:t>
      </w:r>
      <w:r>
        <w:rPr>
          <w:rFonts w:hint="eastAsia"/>
          <w:color w:val="auto"/>
          <w:szCs w:val="21"/>
        </w:rPr>
        <w:t>过程，</w:t>
      </w:r>
      <w:r>
        <w:rPr>
          <w:rFonts w:hint="eastAsia"/>
          <w:szCs w:val="21"/>
        </w:rPr>
        <w:t>采用游标卡尺进行比对进行有效性确认，满足要求。详见附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lang w:val="en-US" w:eastAsia="zh-CN"/>
        </w:rPr>
        <w:t>井口法兰密封槽外径测量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lang w:val="en-US" w:eastAsia="zh-CN"/>
        </w:rPr>
        <w:t>井口法兰密封槽外径测量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Times New Roman" w:hAnsi="Times New Roman" w:eastAsia="宋体" w:cs="Times New Roman"/>
          <w:bCs/>
          <w:color w:val="auto"/>
          <w:szCs w:val="21"/>
          <w:lang w:val="en-US" w:eastAsia="zh-CN"/>
        </w:rPr>
        <w:t>广东精衡检测科技有限公司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20.6</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szCs w:val="21"/>
        </w:rPr>
        <w:t>查2021年外审出具1项不符合项：</w:t>
      </w:r>
      <w:r>
        <w:rPr>
          <w:rFonts w:hint="eastAsia" w:ascii="Times New Roman" w:hAnsi="Times New Roman" w:eastAsia="宋体" w:cs="Times New Roman"/>
          <w:bCs/>
          <w:color w:val="auto"/>
          <w:szCs w:val="21"/>
          <w:lang w:val="en-US" w:eastAsia="zh-CN"/>
        </w:rPr>
        <w:t>查在测量设备台账中，没有把出厂编号为702007、型号为（35-50mm）的百分表纳入测量设备台账中管理的证据。不符合GB/T19022-2003标准中6.3.1测量设备条款“用于监视和记录影响量的测量管理体系内”</w:t>
      </w:r>
      <w:r>
        <w:rPr>
          <w:rFonts w:hint="eastAsia" w:ascii="Times New Roman" w:hAnsi="Times New Roman" w:eastAsia="宋体" w:cs="Times New Roman"/>
          <w:bCs/>
          <w:color w:val="auto"/>
          <w:szCs w:val="21"/>
          <w:lang w:val="zh-CN"/>
        </w:rPr>
        <w:t>的规定要求</w:t>
      </w:r>
      <w:r>
        <w:rPr>
          <w:rFonts w:hint="eastAsia" w:ascii="Times New Roman" w:hAnsi="Times New Roman" w:eastAsia="宋体" w:cs="Times New Roman"/>
          <w:bCs/>
          <w:color w:val="auto"/>
          <w:szCs w:val="21"/>
          <w:lang w:val="en-US" w:eastAsia="zh-CN"/>
        </w:rPr>
        <w:t>。</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b w:val="0"/>
          <w:bCs w:val="0"/>
          <w:kern w:val="0"/>
          <w:szCs w:val="21"/>
          <w:u w:val="none"/>
          <w:lang w:val="zh-CN" w:eastAsia="zh-CN"/>
        </w:rPr>
        <w:t>查在用的编号为</w:t>
      </w:r>
      <w:r>
        <w:rPr>
          <w:rFonts w:hint="eastAsia" w:ascii="宋体" w:hAnsi="宋体" w:cs="宋体"/>
          <w:b w:val="0"/>
          <w:bCs w:val="0"/>
          <w:kern w:val="0"/>
          <w:szCs w:val="21"/>
          <w:u w:val="none"/>
          <w:lang w:val="en-US" w:eastAsia="zh-CN"/>
        </w:rPr>
        <w:t>92-206环规，未</w:t>
      </w:r>
      <w:r>
        <w:rPr>
          <w:rFonts w:hint="eastAsia" w:ascii="宋体" w:hAnsi="宋体" w:cs="宋体"/>
          <w:b w:val="0"/>
          <w:bCs w:val="0"/>
          <w:kern w:val="0"/>
          <w:szCs w:val="21"/>
          <w:u w:val="none"/>
          <w:lang w:val="zh-CN" w:eastAsia="zh-CN"/>
        </w:rPr>
        <w:t>粘贴计量确认标识</w:t>
      </w:r>
      <w:r>
        <w:rPr>
          <w:rFonts w:hint="eastAsia" w:ascii="宋体" w:hAnsi="宋体" w:cs="宋体"/>
          <w:b w:val="0"/>
          <w:bCs w:val="0"/>
          <w:kern w:val="0"/>
          <w:szCs w:val="21"/>
          <w:u w:val="none"/>
          <w:lang w:val="en-US" w:eastAsia="zh-CN"/>
        </w:rPr>
        <w:t>。不符合GB/T19022-2003标准6.2.4条款标识的规定要求。</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rPr>
          <w:szCs w:val="21"/>
        </w:rPr>
      </w:pPr>
      <w:r>
        <w:rPr>
          <w:rFonts w:hint="eastAsia"/>
          <w:szCs w:val="21"/>
        </w:rPr>
        <w:t>企业营业执照</w:t>
      </w:r>
      <w:r>
        <w:rPr>
          <w:rFonts w:hint="eastAsia"/>
          <w:szCs w:val="21"/>
          <w:lang w:eastAsia="zh-CN"/>
        </w:rPr>
        <w:t>、</w:t>
      </w:r>
      <w:r>
        <w:rPr>
          <w:rFonts w:hint="eastAsia"/>
          <w:szCs w:val="21"/>
        </w:rPr>
        <w:t>企业测量管理体系认证范围无变化。</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spacing w:line="360" w:lineRule="auto"/>
        <w:ind w:firstLine="420" w:firstLineChars="200"/>
        <w:rPr>
          <w:rFonts w:hint="eastAsia"/>
          <w:color w:val="auto"/>
          <w:szCs w:val="21"/>
        </w:rPr>
      </w:pPr>
      <w:r>
        <w:rPr>
          <w:rFonts w:hint="eastAsia"/>
          <w:color w:val="auto"/>
          <w:szCs w:val="21"/>
        </w:rPr>
        <w:t>抽查公司</w:t>
      </w:r>
      <w:r>
        <w:rPr>
          <w:rFonts w:hint="eastAsia"/>
          <w:color w:val="auto"/>
          <w:szCs w:val="21"/>
          <w:lang w:val="en-US" w:eastAsia="zh-CN"/>
        </w:rPr>
        <w:t>加工定作</w:t>
      </w:r>
      <w:r>
        <w:rPr>
          <w:rFonts w:hint="eastAsia"/>
          <w:color w:val="auto"/>
          <w:szCs w:val="21"/>
        </w:rPr>
        <w:t>合同，合同编号</w:t>
      </w:r>
      <w:r>
        <w:rPr>
          <w:rFonts w:hint="eastAsia"/>
          <w:color w:val="auto"/>
          <w:szCs w:val="21"/>
          <w:lang w:val="en-US" w:eastAsia="zh-CN"/>
        </w:rPr>
        <w:t>：DQGLJ-</w:t>
      </w:r>
      <w:r>
        <w:rPr>
          <w:rFonts w:hint="eastAsia"/>
          <w:color w:val="auto"/>
          <w:szCs w:val="21"/>
        </w:rPr>
        <w:t>WZGS-2022-MM</w:t>
      </w:r>
      <w:r>
        <w:rPr>
          <w:rFonts w:hint="eastAsia"/>
          <w:color w:val="auto"/>
          <w:szCs w:val="21"/>
          <w:lang w:val="en-US" w:eastAsia="zh-CN"/>
        </w:rPr>
        <w:t>-3362</w:t>
      </w:r>
      <w:r>
        <w:rPr>
          <w:rFonts w:hint="eastAsia"/>
          <w:color w:val="auto"/>
          <w:szCs w:val="21"/>
        </w:rPr>
        <w:t>，签订日期202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5</w:t>
      </w:r>
      <w:r>
        <w:rPr>
          <w:rFonts w:hint="eastAsia"/>
          <w:color w:val="auto"/>
          <w:szCs w:val="21"/>
        </w:rPr>
        <w:t>月</w:t>
      </w:r>
      <w:r>
        <w:rPr>
          <w:rFonts w:hint="eastAsia"/>
          <w:color w:val="auto"/>
          <w:szCs w:val="21"/>
          <w:lang w:val="en-US" w:eastAsia="zh-CN"/>
        </w:rPr>
        <w:t>17</w:t>
      </w:r>
      <w:r>
        <w:rPr>
          <w:rFonts w:hint="eastAsia"/>
          <w:color w:val="auto"/>
          <w:szCs w:val="21"/>
        </w:rPr>
        <w:t>日，顾客单位：</w:t>
      </w:r>
      <w:r>
        <w:rPr>
          <w:rFonts w:hint="eastAsia"/>
          <w:color w:val="auto"/>
          <w:szCs w:val="21"/>
          <w:lang w:val="en-US" w:eastAsia="zh-CN"/>
        </w:rPr>
        <w:t>大庆油田有限责任公司</w:t>
      </w:r>
      <w:r>
        <w:rPr>
          <w:rFonts w:hint="eastAsia"/>
          <w:color w:val="auto"/>
          <w:szCs w:val="21"/>
        </w:rPr>
        <w:t>，产品名称：</w:t>
      </w:r>
      <w:r>
        <w:rPr>
          <w:rFonts w:hint="eastAsia"/>
          <w:color w:val="auto"/>
          <w:sz w:val="20"/>
          <w:szCs w:val="18"/>
          <w:lang w:val="en-US" w:eastAsia="zh-CN"/>
        </w:rPr>
        <w:t>井口法兰</w:t>
      </w:r>
      <w:r>
        <w:rPr>
          <w:rFonts w:hint="eastAsia"/>
          <w:color w:val="auto"/>
          <w:szCs w:val="21"/>
        </w:rPr>
        <w:t>，公司对应的产品生产过程涉及有对应的测量过程和测量设备，测量设备的配备可满足该合同生产和检验要求。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通过2022年</w:t>
      </w:r>
      <w:r>
        <w:rPr>
          <w:rFonts w:hint="eastAsia"/>
          <w:szCs w:val="21"/>
          <w:lang w:val="en-US" w:eastAsia="zh-CN"/>
        </w:rPr>
        <w:t>11</w:t>
      </w:r>
      <w:r>
        <w:rPr>
          <w:rFonts w:hint="eastAsia"/>
          <w:szCs w:val="21"/>
        </w:rPr>
        <w:t>月</w:t>
      </w:r>
      <w:r>
        <w:rPr>
          <w:rFonts w:hint="eastAsia"/>
          <w:szCs w:val="21"/>
          <w:lang w:val="en-US" w:eastAsia="zh-CN"/>
        </w:rPr>
        <w:t>25</w:t>
      </w:r>
      <w:r>
        <w:rPr>
          <w:rFonts w:hint="eastAsia"/>
          <w:szCs w:val="21"/>
        </w:rPr>
        <w:t>日，利用1天的时间，对</w:t>
      </w:r>
      <w:r>
        <w:rPr>
          <w:rFonts w:hint="eastAsia" w:ascii="宋体" w:hAnsi="宋体"/>
          <w:szCs w:val="21"/>
        </w:rPr>
        <w:t>大庆中达机械设备有限公司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hint="eastAsia" w:ascii="宋体" w:hAnsi="宋体"/>
          <w:szCs w:val="21"/>
        </w:rPr>
        <w:t>大庆中达机械设备有限公司</w:t>
      </w:r>
      <w:r>
        <w:rPr>
          <w:rFonts w:hint="eastAsia"/>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2022.</w:t>
      </w:r>
      <w:r>
        <w:rPr>
          <w:rFonts w:hint="eastAsia" w:ascii="宋体" w:hAnsi="宋体" w:eastAsia="宋体" w:cs="宋体"/>
          <w:kern w:val="0"/>
          <w:szCs w:val="21"/>
          <w:lang w:val="en-US" w:eastAsia="zh-CN"/>
        </w:rPr>
        <w:t>11</w:t>
      </w:r>
      <w:r>
        <w:rPr>
          <w:rFonts w:hint="eastAsia" w:ascii="宋体" w:hAnsi="宋体" w:eastAsia="宋体" w:cs="宋体"/>
          <w:kern w:val="0"/>
          <w:szCs w:val="21"/>
        </w:rPr>
        <w:t>.</w:t>
      </w:r>
      <w:r>
        <w:rPr>
          <w:rFonts w:hint="eastAsia" w:ascii="宋体" w:hAnsi="宋体" w:eastAsia="宋体" w:cs="宋体"/>
          <w:kern w:val="0"/>
          <w:szCs w:val="21"/>
          <w:lang w:val="en-US" w:eastAsia="zh-CN"/>
        </w:rPr>
        <w:t>25</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lang w:val="en-US" w:eastAsia="zh-CN"/>
        </w:rPr>
        <w:t xml:space="preserve">  </w:t>
      </w:r>
      <w:r>
        <w:rPr>
          <w:rFonts w:hint="eastAsia" w:ascii="宋体" w:hAnsi="宋体" w:cs="宋体"/>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2022.</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25</w:t>
      </w:r>
      <w:bookmarkStart w:id="11" w:name="_GoBack"/>
      <w:bookmarkEnd w:id="11"/>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zRhYjhhZTI5Mzg5NTlkZTA0MDI1YWFiNDMwM2EifQ=="/>
  </w:docVars>
  <w:rsids>
    <w:rsidRoot w:val="00000000"/>
    <w:rsid w:val="1BDA0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1795</Words>
  <Characters>2039</Characters>
  <Lines>15</Lines>
  <Paragraphs>4</Paragraphs>
  <TotalTime>0</TotalTime>
  <ScaleCrop>false</ScaleCrop>
  <LinksUpToDate>false</LinksUpToDate>
  <CharactersWithSpaces>2156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2022-11-25T13:40:17Z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C149E25AABBB44AF9DDEF2DFF03FF11E</vt:lpwstr>
  </property>
</Properties>
</file>