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大庆市富隆达石油工程机械设备有限公司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0120-2017-2020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0120-2017-2020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s="宋体"/>
                <w:color w:val="000000"/>
                <w:sz w:val="21"/>
                <w:szCs w:val="21"/>
                <w:u w:val="none"/>
                <w:lang w:eastAsia="zh-CN"/>
              </w:rPr>
              <w:t>大庆市富隆达石油工程机械设备有限公司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杨柳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center"/>
          </w:tcPr>
          <w:p>
            <w:pPr>
              <w:jc w:val="both"/>
              <w:rPr>
                <w:rFonts w:hint="eastAsia" w:ascii="宋体" w:eastAsia="宋体"/>
                <w:color w:val="auto"/>
                <w:lang w:val="en-US" w:eastAsia="zh-CN"/>
              </w:rPr>
            </w:pPr>
            <w:r>
              <w:rPr>
                <w:rFonts w:ascii="宋体" w:hAnsi="宋体"/>
                <w:color w:val="auto"/>
              </w:rPr>
              <w:t>ISC-201</w:t>
            </w:r>
            <w:r>
              <w:rPr>
                <w:rFonts w:hint="eastAsia" w:ascii="宋体" w:hAnsi="宋体"/>
                <w:color w:val="auto"/>
                <w:lang w:val="en-US" w:eastAsia="zh-CN"/>
              </w:rPr>
              <w:t>7</w:t>
            </w:r>
            <w:r>
              <w:rPr>
                <w:rFonts w:ascii="宋体" w:hAnsi="宋体"/>
                <w:color w:val="auto"/>
              </w:rPr>
              <w:t>-0</w:t>
            </w:r>
            <w:r>
              <w:rPr>
                <w:rFonts w:hint="eastAsia" w:ascii="宋体" w:hAnsi="宋体"/>
                <w:color w:val="auto"/>
                <w:lang w:val="en-US" w:eastAsia="zh-CN"/>
              </w:rPr>
              <w:t>201</w:t>
            </w:r>
          </w:p>
        </w:tc>
        <w:tc>
          <w:tcPr>
            <w:tcW w:w="1892" w:type="dxa"/>
            <w:noWrap w:val="0"/>
            <w:vAlign w:val="center"/>
          </w:tcPr>
          <w:p>
            <w:pPr>
              <w:jc w:val="both"/>
              <w:rPr>
                <w:rFonts w:ascii="宋体"/>
                <w:color w:val="auto"/>
              </w:rPr>
            </w:pPr>
            <w:r>
              <w:rPr>
                <w:rFonts w:hint="eastAsia" w:ascii="宋体" w:hAnsi="宋体"/>
                <w:color w:val="auto"/>
              </w:rPr>
              <w:t>证书有效期</w:t>
            </w:r>
          </w:p>
        </w:tc>
        <w:tc>
          <w:tcPr>
            <w:tcW w:w="2412" w:type="dxa"/>
            <w:noWrap w:val="0"/>
            <w:vAlign w:val="center"/>
          </w:tcPr>
          <w:p>
            <w:pPr>
              <w:jc w:val="both"/>
              <w:rPr>
                <w:rFonts w:ascii="宋体"/>
                <w:color w:val="auto"/>
              </w:rPr>
            </w:pPr>
            <w:r>
              <w:rPr>
                <w:rFonts w:ascii="宋体" w:hAnsi="宋体"/>
                <w:color w:val="auto"/>
              </w:rPr>
              <w:t>202</w:t>
            </w:r>
            <w:r>
              <w:rPr>
                <w:rFonts w:hint="eastAsia" w:ascii="宋体" w:hAnsi="宋体"/>
                <w:color w:val="auto"/>
                <w:lang w:val="en-US" w:eastAsia="zh-CN"/>
              </w:rPr>
              <w:t>2</w:t>
            </w:r>
            <w:r>
              <w:rPr>
                <w:rFonts w:hint="eastAsia" w:ascii="宋体" w:hAnsi="宋体"/>
                <w:color w:val="auto"/>
              </w:rPr>
              <w:t>年1</w:t>
            </w:r>
            <w:r>
              <w:rPr>
                <w:rFonts w:hint="eastAsia" w:ascii="宋体" w:hAnsi="宋体"/>
                <w:color w:val="auto"/>
                <w:lang w:val="en-US" w:eastAsia="zh-CN"/>
              </w:rPr>
              <w:t>2</w:t>
            </w:r>
            <w:r>
              <w:rPr>
                <w:rFonts w:hint="eastAsia" w:ascii="宋体" w:hAnsi="宋体"/>
                <w:color w:val="auto"/>
              </w:rPr>
              <w:t>月</w:t>
            </w:r>
            <w:r>
              <w:rPr>
                <w:rFonts w:ascii="宋体" w:hAnsi="宋体"/>
                <w:color w:val="auto"/>
              </w:rPr>
              <w:t xml:space="preserve"> </w:t>
            </w:r>
            <w:r>
              <w:rPr>
                <w:rFonts w:hint="eastAsia" w:ascii="宋体" w:hAnsi="宋体"/>
                <w:color w:val="auto"/>
                <w:lang w:val="en-US" w:eastAsia="zh-CN"/>
              </w:rPr>
              <w:t>26</w:t>
            </w:r>
            <w:r>
              <w:rPr>
                <w:rFonts w:hint="eastAsia" w:ascii="宋体" w:hAnsi="宋体"/>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二</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ascii="宋体" w:cs="宋体"/>
                <w:kern w:val="0"/>
                <w:szCs w:val="21"/>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4</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p>
            <w:pPr>
              <w:tabs>
                <w:tab w:val="left" w:pos="880"/>
              </w:tabs>
              <w:autoSpaceDE w:val="0"/>
              <w:autoSpaceDN w:val="0"/>
              <w:adjustRightInd w:val="0"/>
              <w:spacing w:before="35" w:line="276" w:lineRule="auto"/>
              <w:ind w:right="161"/>
              <w:jc w:val="both"/>
              <w:rPr>
                <w:rFonts w:hint="default" w:ascii="宋体" w:eastAsiaTheme="minorEastAsia"/>
                <w:color w:val="000000"/>
                <w:kern w:val="0"/>
                <w:sz w:val="24"/>
                <w:szCs w:val="24"/>
                <w:lang w:val="en-US" w:eastAsia="zh-CN"/>
              </w:rPr>
            </w:pPr>
            <w:r>
              <w:rPr>
                <w:rFonts w:hint="eastAsia" w:ascii="宋体" w:hAnsi="宋体"/>
                <w:sz w:val="21"/>
                <w:szCs w:val="21"/>
                <w:lang w:val="en-US" w:eastAsia="zh-CN"/>
              </w:rPr>
              <w:t>高喜静</w:t>
            </w:r>
            <w:r>
              <w:rPr>
                <w:rFonts w:ascii="宋体" w:hAnsi="宋体"/>
                <w:sz w:val="21"/>
                <w:szCs w:val="21"/>
              </w:rPr>
              <w:t xml:space="preserve"> ISC[S]0</w:t>
            </w:r>
            <w:r>
              <w:rPr>
                <w:rFonts w:hint="eastAsia" w:ascii="宋体" w:hAnsi="宋体"/>
                <w:sz w:val="21"/>
                <w:szCs w:val="21"/>
                <w:lang w:val="en-US" w:eastAsia="zh-CN"/>
              </w:rPr>
              <w:t>202</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color w:val="auto"/>
                <w:lang w:eastAsia="zh-CN"/>
              </w:rPr>
            </w:pPr>
            <w:r>
              <w:rPr>
                <w:rFonts w:hint="eastAsia" w:ascii="宋体" w:hAnsi="宋体" w:cs="宋体"/>
                <w:bCs/>
                <w:color w:val="auto"/>
                <w:kern w:val="0"/>
                <w:sz w:val="21"/>
                <w:szCs w:val="21"/>
                <w:lang w:eastAsia="zh-CN"/>
              </w:rPr>
              <w:t>质管部、</w:t>
            </w:r>
            <w:r>
              <w:rPr>
                <w:rFonts w:hint="eastAsia"/>
                <w:color w:val="auto"/>
              </w:rPr>
              <w:t>生产部</w:t>
            </w:r>
          </w:p>
          <w:p>
            <w:pPr>
              <w:tabs>
                <w:tab w:val="left" w:pos="880"/>
              </w:tabs>
              <w:autoSpaceDE w:val="0"/>
              <w:autoSpaceDN w:val="0"/>
              <w:adjustRightInd w:val="0"/>
              <w:spacing w:before="35" w:line="360" w:lineRule="auto"/>
              <w:ind w:right="161"/>
              <w:jc w:val="both"/>
              <w:rPr>
                <w:rFonts w:hint="eastAsia" w:ascii="宋体" w:eastAsia="宋体" w:cs="宋体"/>
                <w:kern w:val="0"/>
                <w:sz w:val="21"/>
                <w:szCs w:val="21"/>
                <w:lang w:eastAsia="zh-CN"/>
              </w:rPr>
            </w:pPr>
            <w:r>
              <w:rPr>
                <w:rFonts w:hint="eastAsia"/>
                <w:color w:val="auto"/>
                <w:lang w:eastAsia="zh-CN"/>
              </w:rPr>
              <w:t>供销部、办公室</w:t>
            </w:r>
          </w:p>
        </w:tc>
      </w:tr>
    </w:tbl>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w:t>
      </w:r>
      <w:r>
        <w:rPr>
          <w:rFonts w:hint="eastAsia" w:ascii="宋体" w:hAnsi="宋体" w:cs="宋体"/>
          <w:bCs/>
          <w:kern w:val="0"/>
          <w:szCs w:val="21"/>
        </w:rPr>
        <w:t>后</w:t>
      </w:r>
      <w:r>
        <w:rPr>
          <w:rFonts w:hint="eastAsia" w:ascii="宋体" w:hAnsi="宋体" w:cs="宋体"/>
          <w:bCs/>
          <w:kern w:val="0"/>
          <w:szCs w:val="21"/>
          <w:lang w:val="en-US" w:eastAsia="zh-CN"/>
        </w:rPr>
        <w:t>二</w:t>
      </w:r>
      <w:r>
        <w:rPr>
          <w:rFonts w:hint="eastAsia" w:ascii="宋体" w:hAnsi="宋体" w:cs="宋体"/>
          <w:bCs/>
          <w:kern w:val="0"/>
          <w:szCs w:val="21"/>
        </w:rPr>
        <w:t>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大庆市富隆达石油工程机械设备有限公司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val="en-US" w:eastAsia="zh-CN"/>
        </w:rPr>
        <w:t>和1</w:t>
      </w:r>
      <w:r>
        <w:rPr>
          <w:rFonts w:hint="eastAsia" w:ascii="宋体" w:hAnsi="宋体" w:cs="宋体"/>
          <w:bCs/>
          <w:kern w:val="0"/>
          <w:szCs w:val="21"/>
          <w:lang w:eastAsia="zh-CN"/>
        </w:rPr>
        <w:t>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eastAsia="zh-CN"/>
        </w:rPr>
        <w:t>2019</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9</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王少敏</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2019</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16</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cs="宋体"/>
          <w:bCs/>
          <w:kern w:val="0"/>
          <w:szCs w:val="21"/>
          <w:lang w:val="en-US" w:eastAsia="zh-CN"/>
        </w:rPr>
        <w:t>赵凯杰</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标识、文件</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ascii="宋体" w:hAnsi="宋体" w:cs="宋体"/>
          <w:szCs w:val="21"/>
        </w:rPr>
        <w:t>石油钻采专用设备及配件（直驱螺杆泵驱动装置、抽油机配件、管道配件、管汇配件、管道内保护补扣接头、机械设备及配件）、封隔器、油管锚、油管短节、筛管、扶正器、试采工具、标准件（螺丝、螺母）、水处理设备及配件（加药装置）、井上工具、井下工具、测井仪器及配件</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shd w:val="clear" w:color="auto" w:fill="auto"/>
          <w:lang w:val="en-US" w:eastAsia="zh-CN"/>
        </w:rPr>
        <w:t>油管短节（2-7"/8）水压密封试验测量</w:t>
      </w:r>
      <w:r>
        <w:rPr>
          <w:rFonts w:ascii="宋体" w:hAnsi="宋体" w:eastAsia="宋体" w:cs="宋体"/>
          <w:b w:val="0"/>
          <w:bCs/>
          <w:kern w:val="0"/>
          <w:sz w:val="21"/>
          <w:szCs w:val="21"/>
          <w:lang w:val="en-US" w:eastAsia="zh-CN" w:bidi="ar"/>
        </w:rPr>
        <w:t>，</w:t>
      </w:r>
      <w:r>
        <w:rPr>
          <w:rFonts w:hint="eastAsia" w:ascii="宋体" w:hAnsi="宋体" w:eastAsia="宋体" w:cs="宋体"/>
          <w:b w:val="0"/>
          <w:bCs/>
          <w:kern w:val="0"/>
          <w:sz w:val="21"/>
          <w:szCs w:val="21"/>
          <w:lang w:val="en-US" w:eastAsia="zh-CN" w:bidi="ar"/>
        </w:rPr>
        <w:t>封隔器中心管硬度检测</w:t>
      </w:r>
      <w:r>
        <w:rPr>
          <w:rFonts w:hint="eastAsia" w:ascii="宋体" w:hAnsi="宋体" w:cs="宋体"/>
          <w:bCs/>
          <w:kern w:val="0"/>
          <w:szCs w:val="21"/>
        </w:rPr>
        <w:t>等</w:t>
      </w:r>
      <w:r>
        <w:rPr>
          <w:rFonts w:hint="eastAsia" w:ascii="宋体" w:hAnsi="宋体" w:cs="宋体"/>
          <w:bCs/>
          <w:kern w:val="0"/>
          <w:szCs w:val="21"/>
          <w:lang w:val="en-US" w:eastAsia="zh-CN"/>
        </w:rPr>
        <w:t>34</w:t>
      </w:r>
      <w:r>
        <w:rPr>
          <w:rFonts w:hint="eastAsia" w:ascii="宋体" w:hAnsi="宋体" w:cs="宋体"/>
          <w:bCs/>
          <w:kern w:val="0"/>
          <w:szCs w:val="21"/>
        </w:rPr>
        <w:t>个测量过程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eastAsia="zh-CN"/>
        </w:rPr>
        <w:t>没有新</w:t>
      </w:r>
      <w:r>
        <w:rPr>
          <w:rFonts w:hint="eastAsia" w:ascii="宋体" w:hAnsi="宋体" w:cs="宋体"/>
          <w:bCs/>
          <w:kern w:val="0"/>
          <w:szCs w:val="21"/>
        </w:rPr>
        <w:t>增加测量过程，查看了</w:t>
      </w:r>
      <w:r>
        <w:rPr>
          <w:rFonts w:hint="eastAsia" w:ascii="宋体" w:hAnsi="宋体" w:cs="宋体"/>
          <w:bCs/>
          <w:kern w:val="0"/>
          <w:szCs w:val="21"/>
          <w:lang w:eastAsia="zh-CN"/>
        </w:rPr>
        <w:t>原</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油管短节（2-7"/8）水压密封试验测量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snapToGrid w:val="0"/>
        <w:spacing w:line="460" w:lineRule="exact"/>
        <w:rPr>
          <w:rFonts w:hint="eastAsia" w:ascii="宋体" w:hAnsi="宋体" w:cs="宋体"/>
          <w:kern w:val="0"/>
          <w:szCs w:val="21"/>
          <w:lang w:val="en-US" w:eastAsia="zh-CN"/>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cs="宋体"/>
          <w:kern w:val="0"/>
          <w:szCs w:val="21"/>
        </w:rPr>
        <w:t>1、</w:t>
      </w:r>
      <w:r>
        <w:rPr>
          <w:rFonts w:hint="eastAsia" w:ascii="宋体" w:hAnsi="宋体"/>
          <w:szCs w:val="21"/>
          <w:lang w:val="en-US" w:eastAsia="zh-CN"/>
        </w:rPr>
        <w:t>对</w:t>
      </w:r>
      <w:r>
        <w:rPr>
          <w:rFonts w:hint="eastAsia" w:ascii="宋体" w:hAnsi="宋体"/>
          <w:szCs w:val="21"/>
        </w:rPr>
        <w:t>编号</w:t>
      </w:r>
      <w:r>
        <w:rPr>
          <w:rFonts w:hint="eastAsia" w:ascii="宋体" w:hAnsi="宋体"/>
          <w:szCs w:val="21"/>
          <w:lang w:val="en-US" w:eastAsia="zh-CN"/>
        </w:rPr>
        <w:t>1897581的型号为MT-220V的磁粉探伤仪，已经纳入到公司测量设备台账管理中，</w:t>
      </w:r>
      <w:r>
        <w:rPr>
          <w:rFonts w:hint="eastAsia" w:ascii="宋体" w:hAnsi="宋体" w:cs="宋体"/>
          <w:kern w:val="0"/>
          <w:szCs w:val="21"/>
          <w:lang w:val="en-US" w:eastAsia="zh-CN"/>
        </w:rPr>
        <w:t>对其他有关测量设备进行了检查，均在测量设备台账中管理。对有关人员进行了培训，保证防止类似问题再次发生。以上1项不符合项的整改资料齐全。经本次现场审核，审核组通过对整改完成情况及纠正措施有效性进行查验，确认公司上次认证审核中确定的1个不符合项，该公司所采取的纠正措施按时整改完成，纠正措施有效，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自上次监督审核以来未发生</w:t>
      </w:r>
      <w:r>
        <w:rPr>
          <w:rFonts w:hint="eastAsia" w:ascii="宋体" w:hAnsi="宋体" w:cs="宋体"/>
          <w:bCs/>
          <w:kern w:val="0"/>
          <w:szCs w:val="21"/>
          <w:lang w:eastAsia="zh-CN"/>
        </w:rPr>
        <w:t>变</w:t>
      </w:r>
      <w:r>
        <w:rPr>
          <w:rFonts w:hint="eastAsia" w:ascii="宋体" w:hAnsi="宋体" w:cs="宋体"/>
          <w:bCs/>
          <w:kern w:val="0"/>
          <w:szCs w:val="21"/>
        </w:rPr>
        <w:t>更，认证产品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新疆油田、青海油田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ind w:firstLine="420" w:firstLineChars="200"/>
        <w:jc w:val="both"/>
        <w:rPr>
          <w:rFonts w:hint="eastAsia" w:ascii="宋体" w:hAnsi="宋体" w:cs="宋体"/>
          <w:bCs/>
          <w:color w:val="FF0000"/>
          <w:kern w:val="0"/>
          <w:szCs w:val="21"/>
          <w:highlight w:val="red"/>
        </w:rPr>
      </w:pPr>
      <w:r>
        <w:rPr>
          <w:rFonts w:hint="eastAsia" w:ascii="宋体" w:hAnsi="宋体"/>
          <w:szCs w:val="21"/>
          <w:lang w:val="en-US" w:eastAsia="zh-CN"/>
        </w:rPr>
        <w:t>10.1</w:t>
      </w:r>
      <w:r>
        <w:rPr>
          <w:rFonts w:hint="eastAsia" w:ascii="宋体" w:cs="宋体"/>
          <w:kern w:val="0"/>
          <w:szCs w:val="21"/>
          <w:lang w:val="en-US" w:eastAsia="zh-CN"/>
        </w:rPr>
        <w:t>抽</w:t>
      </w:r>
      <w:r>
        <w:rPr>
          <w:rFonts w:hint="eastAsia"/>
        </w:rPr>
        <w:t>查</w:t>
      </w:r>
      <w:r>
        <w:rPr>
          <w:rFonts w:hint="eastAsia"/>
          <w:lang w:val="en-US" w:eastAsia="zh-CN"/>
        </w:rPr>
        <w:t>检验员使用的</w:t>
      </w:r>
      <w:r>
        <w:rPr>
          <w:rFonts w:hint="eastAsia"/>
          <w:color w:val="000000"/>
        </w:rPr>
        <w:t>编号为</w:t>
      </w:r>
      <w:r>
        <w:rPr>
          <w:rFonts w:hint="eastAsia"/>
          <w:color w:val="000000"/>
          <w:lang w:val="en-US" w:eastAsia="zh-CN"/>
        </w:rPr>
        <w:t>235716</w:t>
      </w:r>
      <w:r>
        <w:rPr>
          <w:rFonts w:hint="eastAsia"/>
          <w:color w:val="000000"/>
        </w:rPr>
        <w:t>，</w:t>
      </w:r>
      <w:r>
        <w:rPr>
          <w:rFonts w:hint="eastAsia"/>
          <w:color w:val="000000"/>
          <w:lang w:eastAsia="zh-CN"/>
        </w:rPr>
        <w:t>（</w:t>
      </w:r>
      <w:r>
        <w:rPr>
          <w:rFonts w:hint="eastAsia"/>
          <w:color w:val="000000"/>
          <w:lang w:val="en-US" w:eastAsia="zh-CN"/>
        </w:rPr>
        <w:t>0-300</w:t>
      </w:r>
      <w:r>
        <w:rPr>
          <w:rFonts w:hint="eastAsia"/>
          <w:color w:val="000000"/>
          <w:lang w:eastAsia="zh-CN"/>
        </w:rPr>
        <w:t>）</w:t>
      </w:r>
      <w:r>
        <w:rPr>
          <w:rFonts w:hint="eastAsia"/>
          <w:color w:val="000000"/>
        </w:rPr>
        <w:t>mm的</w:t>
      </w:r>
      <w:r>
        <w:rPr>
          <w:rFonts w:hint="eastAsia"/>
          <w:color w:val="000000"/>
          <w:lang w:val="en-US" w:eastAsia="zh-CN"/>
        </w:rPr>
        <w:t>游标卡尺，</w:t>
      </w:r>
      <w:r>
        <w:rPr>
          <w:rFonts w:hint="eastAsia"/>
          <w:color w:val="000000"/>
        </w:rPr>
        <w:t>检定</w:t>
      </w:r>
      <w:r>
        <w:rPr>
          <w:rFonts w:hint="eastAsia"/>
          <w:color w:val="000000"/>
          <w:lang w:val="en-US" w:eastAsia="zh-CN"/>
        </w:rPr>
        <w:t>日</w:t>
      </w:r>
      <w:r>
        <w:rPr>
          <w:rFonts w:hint="eastAsia"/>
          <w:color w:val="000000"/>
        </w:rPr>
        <w:t>期：</w:t>
      </w:r>
      <w:r>
        <w:rPr>
          <w:color w:val="000000"/>
        </w:rPr>
        <w:t>201</w:t>
      </w:r>
      <w:r>
        <w:rPr>
          <w:rFonts w:hint="eastAsia"/>
          <w:color w:val="000000"/>
          <w:lang w:val="en-US" w:eastAsia="zh-CN"/>
        </w:rPr>
        <w:t>9</w:t>
      </w:r>
      <w:r>
        <w:rPr>
          <w:rFonts w:hint="eastAsia"/>
          <w:color w:val="000000"/>
        </w:rPr>
        <w:t>年</w:t>
      </w:r>
      <w:r>
        <w:rPr>
          <w:rFonts w:hint="eastAsia"/>
          <w:color w:val="000000"/>
          <w:lang w:val="en-US" w:eastAsia="zh-CN"/>
        </w:rPr>
        <w:t>8</w:t>
      </w:r>
      <w:r>
        <w:rPr>
          <w:rFonts w:hint="eastAsia"/>
          <w:color w:val="000000"/>
        </w:rPr>
        <w:t>月</w:t>
      </w:r>
      <w:r>
        <w:rPr>
          <w:rFonts w:hint="eastAsia"/>
          <w:color w:val="000000"/>
          <w:lang w:val="en-US" w:eastAsia="zh-CN"/>
        </w:rPr>
        <w:t>7</w:t>
      </w:r>
      <w:r>
        <w:rPr>
          <w:rFonts w:hint="eastAsia"/>
          <w:color w:val="000000"/>
        </w:rPr>
        <w:t>日，计量确认周期为一年</w:t>
      </w:r>
      <w:r>
        <w:rPr>
          <w:rFonts w:hint="eastAsia"/>
          <w:color w:val="000000"/>
          <w:lang w:eastAsia="zh-CN"/>
        </w:rPr>
        <w:t>，</w:t>
      </w:r>
      <w:r>
        <w:rPr>
          <w:rFonts w:hint="eastAsia"/>
          <w:color w:val="000000"/>
          <w:lang w:val="en-US" w:eastAsia="zh-CN"/>
        </w:rPr>
        <w:t>游标卡尺没有设备计量确认状态的标识。</w:t>
      </w:r>
      <w:r>
        <w:rPr>
          <w:rFonts w:hint="eastAsia" w:ascii="宋体" w:hAnsi="宋体"/>
          <w:szCs w:val="21"/>
          <w:lang w:val="en-US" w:eastAsia="zh-CN"/>
        </w:rPr>
        <w:t>不符合</w:t>
      </w:r>
      <w:r>
        <w:rPr>
          <w:rFonts w:hint="eastAsia" w:ascii="宋体" w:hAnsi="宋体" w:cs="宋体"/>
          <w:kern w:val="0"/>
          <w:szCs w:val="21"/>
          <w:u w:val="none"/>
          <w:lang w:val="en-US" w:eastAsia="zh-CN"/>
        </w:rPr>
        <w:t>GB/T19022-2003 6.2.4条款关于“……应有设备计量确认状态的标识 ……。”</w:t>
      </w:r>
      <w:r>
        <w:rPr>
          <w:rFonts w:hint="eastAsia" w:ascii="宋体" w:hAnsi="宋体" w:cs="宋体"/>
          <w:kern w:val="0"/>
          <w:szCs w:val="21"/>
          <w:u w:val="none"/>
          <w:lang w:eastAsia="zh-CN"/>
        </w:rPr>
        <w:t>的规定</w:t>
      </w:r>
      <w:r>
        <w:rPr>
          <w:rFonts w:hint="eastAsia" w:ascii="宋体" w:hAnsi="宋体"/>
          <w:szCs w:val="21"/>
          <w:u w:val="none"/>
          <w:lang w:val="en-US" w:eastAsia="zh-CN"/>
        </w:rPr>
        <w:t>要求。</w:t>
      </w:r>
      <w:r>
        <w:rPr>
          <w:rFonts w:hint="eastAsia" w:ascii="宋体" w:hAnsi="宋体" w:cs="宋体"/>
          <w:bCs/>
          <w:color w:val="auto"/>
          <w:kern w:val="0"/>
          <w:szCs w:val="21"/>
          <w:highlight w:val="none"/>
        </w:rPr>
        <w:t>属于次要不符合项。属于次要不符合项。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lang w:val="en-US" w:eastAsia="zh-CN"/>
        </w:rPr>
        <w:t>.</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2019年1-12月</w:t>
      </w:r>
      <w:r>
        <w:rPr>
          <w:rFonts w:hint="eastAsia" w:ascii="宋体" w:hAnsi="宋体" w:cs="宋体"/>
          <w:bCs/>
          <w:kern w:val="0"/>
          <w:szCs w:val="21"/>
        </w:rPr>
        <w:t>耗能为</w:t>
      </w:r>
      <w:r>
        <w:rPr>
          <w:rFonts w:hint="eastAsia" w:ascii="宋体" w:hAnsi="宋体" w:cs="宋体"/>
          <w:bCs/>
          <w:kern w:val="0"/>
          <w:szCs w:val="21"/>
          <w:lang w:val="en-US" w:eastAsia="zh-CN"/>
        </w:rPr>
        <w:t>12.2</w:t>
      </w:r>
      <w:r>
        <w:rPr>
          <w:rFonts w:hint="eastAsia" w:ascii="宋体" w:hAnsi="宋体" w:cs="宋体"/>
          <w:bCs/>
          <w:kern w:val="0"/>
          <w:szCs w:val="21"/>
        </w:rPr>
        <w:t>吨标煤</w:t>
      </w:r>
      <w:r>
        <w:rPr>
          <w:rFonts w:hint="eastAsia" w:ascii="宋体" w:hAnsi="宋体" w:cs="宋体"/>
          <w:bCs/>
          <w:color w:val="auto"/>
          <w:kern w:val="0"/>
          <w:szCs w:val="21"/>
        </w:rPr>
        <w:t>，</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要求</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4</w:t>
      </w:r>
      <w:r>
        <w:rPr>
          <w:rFonts w:hint="eastAsia" w:ascii="宋体" w:hAnsi="宋体" w:cs="宋体"/>
          <w:bCs/>
          <w:kern w:val="0"/>
          <w:szCs w:val="21"/>
        </w:rPr>
        <w:t>日，对</w:t>
      </w:r>
      <w:r>
        <w:rPr>
          <w:rFonts w:hint="eastAsia" w:ascii="宋体" w:hAnsi="宋体"/>
          <w:szCs w:val="21"/>
          <w:lang w:eastAsia="zh-CN"/>
        </w:rPr>
        <w:t>大庆市富隆达石油工程机械设备有限公司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szCs w:val="21"/>
          <w:lang w:eastAsia="zh-CN"/>
        </w:rPr>
        <w:t>大庆市富隆达石油工程机械设备有限公司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bookmarkStart w:id="5" w:name="_GoBack"/>
      <w:bookmarkEnd w:id="5"/>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目前已建立了计量器具台账，但台账要及时更新和完善。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spacing w:line="360" w:lineRule="auto"/>
        <w:ind w:firstLine="420" w:firstLineChars="200"/>
        <w:rPr>
          <w:rFonts w:hint="eastAsia" w:ascii="宋体" w:hAnsi="宋体" w:cs="宋体"/>
          <w:bCs/>
          <w:kern w:val="0"/>
          <w:szCs w:val="21"/>
        </w:rPr>
      </w:pP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384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2017-09-01T06:24:00Z</cp:lastPrinted>
  <dcterms:modified xsi:type="dcterms:W3CDTF">2020-01-04T04:47:39Z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