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0714-2020-QF-2022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武义县食品有限公司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武义县食品有限公司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浙江省金华市武义县文教旅游工业园区</w:t>
            </w:r>
            <w:bookmarkEnd w:id="8"/>
          </w:p>
        </w:tc>
        <w:tc>
          <w:tcPr>
            <w:tcW w:w="1242" w:type="dxa"/>
            <w:vMerge w:val="restart"/>
            <w:vAlign w:val="center"/>
          </w:tcPr>
          <w:p>
            <w:r>
              <w:rPr>
                <w:rFonts w:hint="eastAsia"/>
              </w:rPr>
              <w:t>邮编</w:t>
            </w:r>
          </w:p>
        </w:tc>
        <w:tc>
          <w:tcPr>
            <w:tcW w:w="1771" w:type="dxa"/>
          </w:tcPr>
          <w:p>
            <w:bookmarkStart w:id="9" w:name="注册邮编"/>
            <w:r>
              <w:t>321200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浙江省金华市武义县壶山街道文兴路11号</w:t>
            </w:r>
            <w:bookmarkEnd w:id="10"/>
          </w:p>
        </w:tc>
        <w:tc>
          <w:tcPr>
            <w:tcW w:w="1242" w:type="dxa"/>
            <w:vMerge w:val="continue"/>
            <w:vAlign w:val="center"/>
          </w:tcPr>
          <w:p/>
        </w:tc>
        <w:tc>
          <w:tcPr>
            <w:tcW w:w="1771" w:type="dxa"/>
          </w:tcPr>
          <w:p>
            <w:bookmarkStart w:id="11" w:name="办公邮编"/>
            <w:r>
              <w:t>321200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郑巧媛</w:t>
            </w:r>
            <w:bookmarkEnd w:id="12"/>
          </w:p>
        </w:tc>
        <w:tc>
          <w:tcPr>
            <w:tcW w:w="1313" w:type="dxa"/>
            <w:vAlign w:val="center"/>
          </w:tcPr>
          <w:p>
            <w:r>
              <w:rPr>
                <w:rFonts w:hint="eastAsia"/>
              </w:rPr>
              <w:t>电话.</w:t>
            </w:r>
          </w:p>
        </w:tc>
        <w:tc>
          <w:tcPr>
            <w:tcW w:w="2180" w:type="dxa"/>
            <w:vAlign w:val="center"/>
          </w:tcPr>
          <w:p>
            <w:bookmarkStart w:id="13" w:name="联系人电话"/>
            <w:r>
              <w:t>13758908580</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黄明之</w:t>
            </w:r>
            <w:bookmarkEnd w:id="15"/>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周德强</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highlight w:val="none"/>
              </w:rPr>
              <w:t>生猪验收-静养观察-宰前检验-沐浴-麻电-放血-清洗-头部检验-清洗-浸烫脱毛-落头检查-开膛/净膛-冲洗-劈半-胴体检验-整修-整理-复检-出厂</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6" w:name="审核日期"/>
            <w:r>
              <w:rPr>
                <w:rFonts w:hint="eastAsia"/>
              </w:rPr>
              <w:t>2022年12月03日 上午</w:t>
            </w:r>
            <w:r>
              <w:rPr>
                <w:rFonts w:hint="eastAsia"/>
                <w:lang w:val="en-US" w:eastAsia="zh-CN"/>
              </w:rPr>
              <w:t>8：30</w:t>
            </w:r>
            <w:r>
              <w:rPr>
                <w:rFonts w:hint="eastAsia"/>
              </w:rPr>
              <w:t>至2022年12月04日 上午</w:t>
            </w:r>
            <w:bookmarkEnd w:id="16"/>
            <w:r>
              <w:rPr>
                <w:rFonts w:hint="eastAsia"/>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r>
              <w:rPr>
                <w:rFonts w:hint="eastAsia"/>
              </w:rPr>
              <w:t>二</w:t>
            </w:r>
            <w:bookmarkEnd w:id="29"/>
            <w:r>
              <w:rPr>
                <w:rFonts w:hint="eastAsia"/>
              </w:rPr>
              <w:t>次监督审核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2" w:name="审核范围"/>
            <w:r>
              <w:t>Q：生猪的屠宰</w:t>
            </w:r>
          </w:p>
          <w:p>
            <w:r>
              <w:t>F：位于浙江省金华市武义县壶山街道文兴路11号屠宰车间的生猪屠宰所涉及的食品安全管理活动</w:t>
            </w:r>
            <w:bookmarkEnd w:id="3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Q：03.01.01</w:t>
            </w:r>
          </w:p>
          <w:p>
            <w:r>
              <w:t>F：CI-1</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sym w:font="Wingdings 2" w:char="0052"/>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 xml:space="preserve">10 </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2021年12月08日 上午至2021年12月09日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有效至2024</w:t>
            </w:r>
            <w:r>
              <w:rPr>
                <w:rFonts w:hint="eastAsia"/>
                <w:lang w:val="en-US" w:eastAsia="zh-CN"/>
              </w:rPr>
              <w:t>年</w:t>
            </w:r>
            <w:r>
              <w:rPr>
                <w:rFonts w:hint="eastAsia"/>
              </w:rPr>
              <w:t>02</w:t>
            </w:r>
            <w:r>
              <w:rPr>
                <w:rFonts w:hint="eastAsia"/>
                <w:lang w:val="en-US" w:eastAsia="zh-CN"/>
              </w:rPr>
              <w:t>月</w:t>
            </w:r>
            <w:r>
              <w:rPr>
                <w:rFonts w:hint="eastAsia"/>
              </w:rPr>
              <w:t>01</w:t>
            </w:r>
            <w:r>
              <w:rPr>
                <w:rFonts w:hint="eastAsia"/>
                <w:lang w:val="en-US" w:eastAsia="zh-CN"/>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r>
              <w:t>武义县食品有限公司</w:t>
            </w:r>
          </w:p>
          <w:p>
            <w:pPr>
              <w:pStyle w:val="13"/>
              <w:rPr>
                <w:rFonts w:ascii="Times New Roman" w:hAnsi="Times New Roman" w:eastAsia="宋体" w:cs="Times New Roman"/>
                <w:bCs/>
                <w:spacing w:val="10"/>
                <w:kern w:val="2"/>
                <w:sz w:val="21"/>
                <w:szCs w:val="24"/>
                <w:lang w:val="de-DE" w:eastAsia="ja-JP" w:bidi="ar-SA"/>
              </w:rPr>
            </w:pPr>
            <w:r>
              <w:rPr>
                <w:rFonts w:asciiTheme="minorEastAsia" w:hAnsiTheme="minorEastAsia" w:eastAsiaTheme="minorEastAsia"/>
                <w:sz w:val="20"/>
              </w:rPr>
              <w:t>浙江省金华市武义县文教旅游工业园区</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武义县壶山街道文兴路11号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63</w:t>
            </w:r>
          </w:p>
        </w:tc>
        <w:tc>
          <w:tcPr>
            <w:tcW w:w="2803" w:type="dxa"/>
            <w:vAlign w:val="center"/>
          </w:tcPr>
          <w:p>
            <w:pPr>
              <w:rPr>
                <w:sz w:val="20"/>
              </w:rPr>
            </w:pPr>
            <w:r>
              <w:rPr>
                <w:sz w:val="20"/>
              </w:rPr>
              <w:t>Q：生猪的屠宰</w:t>
            </w:r>
          </w:p>
          <w:p>
            <w:pPr>
              <w:rPr>
                <w:rFonts w:ascii="Times New Roman" w:hAnsi="Times New Roman" w:eastAsia="宋体" w:cs="Times New Roman"/>
                <w:kern w:val="2"/>
                <w:sz w:val="21"/>
                <w:szCs w:val="24"/>
                <w:lang w:val="en-US" w:eastAsia="ja-JP" w:bidi="ar-SA"/>
              </w:rPr>
            </w:pPr>
            <w:r>
              <w:rPr>
                <w:sz w:val="20"/>
              </w:rPr>
              <w:t>F：位于浙江省金华市武义县壶山街道文兴路11号屠宰车间的生猪屠宰所涉及的食品安全管理活动</w:t>
            </w:r>
          </w:p>
        </w:tc>
        <w:tc>
          <w:tcPr>
            <w:tcW w:w="669"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pPr>
        <w:rPr>
          <w:rFonts w:hint="default" w:eastAsia="宋体"/>
          <w:lang w:val="en-US" w:eastAsia="zh-CN"/>
        </w:rPr>
      </w:pPr>
      <w:r>
        <w:rPr>
          <w:rFonts w:hint="eastAsia"/>
        </w:rPr>
        <w:t>本次审核活动按《审核计划》执行。完成情况说明:</w:t>
      </w:r>
      <w:r>
        <w:rPr>
          <w:rFonts w:hint="eastAsia"/>
          <w:lang w:eastAsia="zh-CN"/>
        </w:rPr>
        <w:t>——</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2020-N1QMS-1232380</w:t>
            </w:r>
          </w:p>
          <w:p>
            <w:r>
              <w:t>2020-N1FSMS-1232380</w:t>
            </w:r>
          </w:p>
        </w:tc>
        <w:tc>
          <w:tcPr>
            <w:tcW w:w="2179" w:type="dxa"/>
            <w:vAlign w:val="center"/>
          </w:tcPr>
          <w:p>
            <w:r>
              <w:t>F:CI-1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2022-N1QMS-4059498</w:t>
            </w:r>
          </w:p>
          <w:p>
            <w:r>
              <w:t>2020-N1FSMS-3059498</w:t>
            </w:r>
          </w:p>
        </w:tc>
        <w:tc>
          <w:tcPr>
            <w:tcW w:w="2179" w:type="dxa"/>
            <w:vAlign w:val="center"/>
          </w:tcPr>
          <w:p>
            <w:r>
              <w:t>Q:03.01.01</w:t>
            </w:r>
          </w:p>
          <w:p>
            <w:r>
              <w:t>F:CI-1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无</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 □EMS□OHSMS□EnMS</w:t>
      </w:r>
      <w:r>
        <w:rPr>
          <w:rFonts w:hint="eastAsia"/>
        </w:rPr>
        <w:sym w:font="Wingdings 2" w:char="0052"/>
      </w:r>
      <w:r>
        <w:rPr>
          <w:rFonts w:hint="eastAsia"/>
        </w:rPr>
        <w:t>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审核周期内未发生重大食品安全事故、也未发生重大质量事故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default" w:eastAsia="宋体"/>
          <w:lang w:val="en-US" w:eastAsia="zh-CN"/>
        </w:rPr>
      </w:pPr>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bookmarkStart w:id="39" w:name="范围变化"/>
            <w:r>
              <w:rPr>
                <w:rFonts w:hint="eastAsia"/>
              </w:rPr>
              <w:t>Q:</w:t>
            </w:r>
            <w:r>
              <w:rPr>
                <w:rFonts w:hint="eastAsia"/>
                <w:lang w:eastAsia="zh-CN"/>
              </w:rPr>
              <w:t>——</w:t>
            </w:r>
          </w:p>
          <w:p>
            <w:pPr>
              <w:rPr>
                <w:rFonts w:hint="eastAsia" w:eastAsia="宋体"/>
                <w:lang w:eastAsia="zh-CN"/>
              </w:rPr>
            </w:pPr>
            <w:r>
              <w:rPr>
                <w:rFonts w:hint="eastAsia"/>
              </w:rPr>
              <w:t>F:</w:t>
            </w:r>
            <w:bookmarkEnd w:id="39"/>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生猪的屠宰</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sz w:val="20"/>
              </w:rPr>
              <w:t>位于浙江省金华市武义县壶山街道文兴路11号屠宰车间的生猪屠宰所涉及的食品安全管理活动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9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inline distT="0" distB="0" distL="114300" distR="114300">
                  <wp:extent cx="1063625" cy="615950"/>
                  <wp:effectExtent l="0" t="0" r="3175" b="3175"/>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1063625" cy="6159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2022-12-05</w:t>
            </w:r>
            <w:bookmarkStart w:id="40" w:name="_GoBack"/>
            <w:bookmarkEnd w:id="40"/>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8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sym w:font="Wingdings 2" w:char="0052"/>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hd w:val="clear"/>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hd w:val="clear"/>
                    <w:tabs>
                      <w:tab w:val="center" w:pos="3579"/>
                    </w:tabs>
                    <w:spacing w:before="0" w:beforeAutospacing="0" w:after="0" w:afterAutospacing="0"/>
                    <w:ind w:left="0" w:right="0"/>
                    <w:jc w:val="both"/>
                    <w:rPr>
                      <w:rFonts w:hint="eastAsia"/>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color w:val="000000"/>
                      <w:szCs w:val="21"/>
                      <w:lang w:val="en-US" w:eastAsia="zh-CN"/>
                    </w:rPr>
                    <w:t xml:space="preserve">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r>
              <w:rPr>
                <w:rFonts w:hint="eastAsia"/>
                <w:highlight w:val="none"/>
                <w:vertAlign w:val="baseline"/>
                <w:lang w:eastAsia="zh-CN"/>
              </w:rPr>
              <w:t>——</w:t>
            </w:r>
            <w:r>
              <w:rPr>
                <w:rFonts w:hint="eastAsia"/>
                <w:highlight w:val="none"/>
                <w:vertAlign w:val="baseline"/>
                <w:lang w:val="en-US" w:eastAsia="zh-CN"/>
              </w:rPr>
              <w:t>审核周期内未发生</w:t>
            </w:r>
          </w:p>
          <w:p>
            <w:pP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rPr>
              <w:sym w:font="Wingdings 2" w:char="0052"/>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w:t>
            </w:r>
            <w:r>
              <w:rPr>
                <w:rFonts w:hint="eastAsia"/>
              </w:rPr>
              <w:sym w:font="Wingdings 2" w:char="0052"/>
            </w:r>
            <w:r>
              <w:rPr>
                <w:rFonts w:hint="eastAsia"/>
              </w:rPr>
              <w:t xml:space="preserve">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□知识保密 </w:t>
            </w:r>
          </w:p>
          <w:p>
            <w:pPr>
              <w:spacing w:before="40" w:after="40"/>
            </w:pP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外部供方控制 </w:t>
            </w:r>
            <w:r>
              <w:rPr>
                <w:rFonts w:hint="eastAsia"/>
              </w:rPr>
              <w:sym w:font="Wingdings 2" w:char="0052"/>
            </w:r>
            <w:r>
              <w:rPr>
                <w:rFonts w:hint="eastAsia"/>
              </w:rPr>
              <w:t>生产/服务控制 □其他</w:t>
            </w:r>
          </w:p>
          <w:p>
            <w:pPr>
              <w:pStyle w:val="8"/>
            </w:pP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spacing w:before="40" w:after="40"/>
            </w:pPr>
            <w:r>
              <w:rPr>
                <w:rFonts w:hint="eastAsia"/>
              </w:rPr>
              <w:t>□新产品设计开发 □原材料订制 □生产/服务过程 □检验检测 □产品运输 □设备维修</w:t>
            </w:r>
          </w:p>
          <w:p>
            <w:pPr>
              <w:spacing w:before="40" w:after="40"/>
              <w:jc w:val="left"/>
              <w:rPr>
                <w:rFonts w:hint="default"/>
                <w:lang w:val="en-US" w:eastAsia="zh-CN"/>
              </w:rPr>
            </w:pPr>
            <w:r>
              <w:rPr>
                <w:rFonts w:hint="eastAsia"/>
              </w:rPr>
              <w:t xml:space="preserve">□人员培训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lang w:val="en-GB"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领导作用</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w:t>
            </w:r>
            <w:r>
              <w:rPr>
                <w:rFonts w:hint="eastAsia"/>
                <w:highlight w:val="none"/>
                <w:vertAlign w:val="baseline"/>
                <w:lang w:val="en-US" w:eastAsia="zh-CN"/>
              </w:rPr>
              <w:t>确定并</w:t>
            </w:r>
            <w:r>
              <w:rPr>
                <w:rFonts w:hint="eastAsia"/>
                <w:highlight w:val="none"/>
                <w:vertAlign w:val="baseline"/>
              </w:rPr>
              <w:t>证实</w:t>
            </w:r>
            <w:r>
              <w:rPr>
                <w:rFonts w:hint="eastAsia"/>
                <w:highlight w:val="none"/>
                <w:vertAlign w:val="baseline"/>
                <w:lang w:val="en-US" w:eastAsia="zh-CN"/>
              </w:rPr>
              <w:t>了</w:t>
            </w:r>
            <w:r>
              <w:rPr>
                <w:rFonts w:hint="eastAsia"/>
                <w:highlight w:val="none"/>
                <w:vertAlign w:val="baseline"/>
              </w:rPr>
              <w:t>对</w:t>
            </w:r>
            <w:r>
              <w:rPr>
                <w:rFonts w:hint="eastAsia"/>
                <w:highlight w:val="none"/>
                <w:vertAlign w:val="baseline"/>
                <w:lang w:val="en-US" w:eastAsia="zh-CN"/>
              </w:rPr>
              <w:t>相关</w:t>
            </w:r>
            <w:r>
              <w:rPr>
                <w:rFonts w:hint="eastAsia"/>
                <w:highlight w:val="none"/>
                <w:vertAlign w:val="baseline"/>
              </w:rPr>
              <w:t>管理体系的领导作用与承诺</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lang w:val="en-US" w:eastAsia="zh-CN"/>
              </w:rPr>
            </w:pPr>
            <w:r>
              <w:rPr>
                <w:rFonts w:hint="eastAsia"/>
                <w:lang w:val="en-US" w:eastAsia="zh-CN"/>
              </w:rPr>
              <w:t>QMS最高管理者应确及证实其以顾客为关注焦点的领导作用和承诺；</w:t>
            </w:r>
          </w:p>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通过——</w:t>
            </w:r>
          </w:p>
          <w:p>
            <w:pPr>
              <w:rPr>
                <w:rFonts w:hint="eastAsia"/>
                <w:lang w:val="en-US" w:eastAsia="zh-CN"/>
              </w:rPr>
            </w:pPr>
            <w:r>
              <w:rPr>
                <w:rFonts w:hint="eastAsia"/>
              </w:rPr>
              <w:sym w:font="Wingdings 2" w:char="0052"/>
            </w:r>
            <w:r>
              <w:rPr>
                <w:rFonts w:hint="eastAsia"/>
              </w:rPr>
              <w:t xml:space="preserve">以身作则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建立机制 </w:t>
            </w:r>
            <w:r>
              <w:rPr>
                <w:rFonts w:hint="eastAsia"/>
              </w:rPr>
              <w:sym w:font="Wingdings 2" w:char="0052"/>
            </w:r>
            <w:r>
              <w:rPr>
                <w:rFonts w:hint="eastAsia"/>
              </w:rPr>
              <w:t xml:space="preserve">法规宣传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风险机遇的应对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重视顾客反馈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目标考核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highlight w:val="none"/>
                <w:vertAlign w:val="baseline"/>
              </w:rPr>
              <w:t>最高管理者制定</w:t>
            </w:r>
            <w:r>
              <w:rPr>
                <w:rFonts w:hint="eastAsia"/>
                <w:highlight w:val="none"/>
                <w:vertAlign w:val="baseline"/>
                <w:lang w:val="en-US" w:eastAsia="zh-CN"/>
              </w:rPr>
              <w:t>了文件化的管理体系</w:t>
            </w:r>
            <w:r>
              <w:rPr>
                <w:rFonts w:hint="eastAsia"/>
                <w:highlight w:val="none"/>
                <w:vertAlign w:val="baseline"/>
              </w:rPr>
              <w:t>方针</w:t>
            </w:r>
            <w:r>
              <w:rPr>
                <w:rFonts w:hint="eastAsia"/>
                <w:highlight w:val="none"/>
                <w:vertAlign w:val="baseline"/>
                <w:lang w:eastAsia="zh-CN"/>
              </w:rPr>
              <w:t>：——</w:t>
            </w:r>
            <w:r>
              <w:rPr>
                <w:rFonts w:hint="eastAsia"/>
                <w:highlight w:val="none"/>
                <w:vertAlign w:val="baseline"/>
                <w:lang w:val="en-US" w:eastAsia="zh-CN"/>
              </w:rPr>
              <w:t>审核周期内未发生</w:t>
            </w:r>
          </w:p>
          <w:p>
            <w:pPr>
              <w:keepNext w:val="0"/>
              <w:keepLines w:val="0"/>
              <w:widowControl w:val="0"/>
              <w:numPr>
                <w:ilvl w:val="0"/>
                <w:numId w:val="0"/>
              </w:numPr>
              <w:suppressLineNumbers w:val="0"/>
              <w:shd w:val="clear"/>
              <w:spacing w:before="0" w:beforeAutospacing="0" w:after="0" w:afterAutospacing="0"/>
              <w:ind w:left="0" w:right="0"/>
              <w:jc w:val="both"/>
              <w:rPr>
                <w:rFonts w:hint="eastAsia"/>
                <w:b/>
                <w:bCs/>
                <w:u w:val="single"/>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rPr>
            </w:pPr>
            <w:r>
              <w:rPr>
                <w:rFonts w:hint="eastAsia"/>
                <w:b/>
                <w:bCs/>
                <w:u w:val="single"/>
              </w:rPr>
              <w:t xml:space="preserve">关爱人类、牢固树立食品安全第一的观念。精益求精、高端品质，遵守法规、服务客户、诚信双赢；做到进厂生猪只只检疫、出厂肉品头头检验。让市民吃上放心肉。    </w:t>
            </w:r>
            <w:r>
              <w:rPr>
                <w:rFonts w:hint="eastAsia"/>
              </w:rPr>
              <w:t xml:space="preserve"> </w:t>
            </w:r>
          </w:p>
          <w:p>
            <w:pPr>
              <w:pStyle w:val="13"/>
              <w:rPr>
                <w:rFonts w:hint="eastAsia"/>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GB" w:eastAsia="zh-CN"/>
              </w:rPr>
              <w:t>质量方针合理恰当并为相应的质量目标提供了框架。</w:t>
            </w:r>
            <w:r>
              <w:rPr>
                <w:rFonts w:hint="eastAsia"/>
                <w:highlight w:val="none"/>
                <w:vertAlign w:val="baseline"/>
                <w:lang w:eastAsia="zh-CN"/>
              </w:rPr>
              <w:t>最高</w:t>
            </w:r>
            <w:r>
              <w:rPr>
                <w:rFonts w:hint="eastAsia"/>
                <w:highlight w:val="none"/>
                <w:vertAlign w:val="baseline"/>
                <w:lang w:val="en-GB" w:eastAsia="zh-CN"/>
              </w:rPr>
              <w:t>管理层已经宣布了组织的质量方针并进行了实施，它使所有员工负起持续改进质量管理体系的责任，</w:t>
            </w:r>
            <w:r>
              <w:rPr>
                <w:rFonts w:hint="eastAsia"/>
                <w:highlight w:val="none"/>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最高管理者确</w:t>
            </w:r>
            <w:r>
              <w:rPr>
                <w:rFonts w:hint="eastAsia"/>
                <w:highlight w:val="none"/>
                <w:vertAlign w:val="baseline"/>
                <w:lang w:val="en-US" w:eastAsia="zh-CN"/>
              </w:rPr>
              <w:t>定了</w:t>
            </w:r>
            <w:r>
              <w:rPr>
                <w:rFonts w:hint="eastAsia"/>
                <w:highlight w:val="none"/>
                <w:vertAlign w:val="baseline"/>
              </w:rPr>
              <w:t>组织</w:t>
            </w:r>
            <w:r>
              <w:rPr>
                <w:rFonts w:hint="eastAsia"/>
                <w:highlight w:val="none"/>
                <w:vertAlign w:val="baseline"/>
                <w:lang w:val="en-US" w:eastAsia="zh-CN"/>
              </w:rPr>
              <w:t>架构及</w:t>
            </w:r>
            <w:r>
              <w:rPr>
                <w:rFonts w:hint="eastAsia"/>
                <w:highlight w:val="none"/>
                <w:vertAlign w:val="baseline"/>
              </w:rPr>
              <w:t>相关岗位的职责、权限</w:t>
            </w:r>
            <w:r>
              <w:rPr>
                <w:rFonts w:hint="eastAsia"/>
                <w:highlight w:val="none"/>
                <w:vertAlign w:val="baseline"/>
                <w:lang w:eastAsia="zh-CN"/>
              </w:rPr>
              <w:t>，</w:t>
            </w:r>
            <w:r>
              <w:rPr>
                <w:rFonts w:hint="eastAsia"/>
                <w:highlight w:val="none"/>
                <w:vertAlign w:val="baseline"/>
                <w:lang w:val="en-US" w:eastAsia="zh-CN"/>
              </w:rPr>
              <w:t>并进行了全员的</w:t>
            </w:r>
            <w:r>
              <w:rPr>
                <w:rFonts w:hint="eastAsia"/>
                <w:highlight w:val="none"/>
                <w:vertAlign w:val="baseline"/>
              </w:rPr>
              <w:t>沟通和理解</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yellow"/>
                <w:vertAlign w:val="baseline"/>
                <w:lang w:val="en-US" w:eastAsia="zh-CN"/>
              </w:rPr>
            </w:pPr>
            <w:r>
              <w:rPr>
                <w:rFonts w:hint="eastAsia"/>
                <w:highlight w:val="none"/>
                <w:vertAlign w:val="baseline"/>
                <w:lang w:val="en-US" w:eastAsia="zh-CN"/>
              </w:rPr>
              <w:t>QMS的主管部门是——</w:t>
            </w:r>
            <w:r>
              <w:rPr>
                <w:rFonts w:hint="eastAsia"/>
                <w:color w:val="0000FF"/>
                <w:highlight w:val="none"/>
                <w:u w:val="single"/>
                <w:vertAlign w:val="baseline"/>
                <w:lang w:val="en-US" w:eastAsia="zh-CN"/>
              </w:rPr>
              <w:t>管理层、加工厂、办公室等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vertAlign w:val="baseline"/>
                      <w:lang w:val="en-US" w:eastAsia="zh-CN"/>
                    </w:rPr>
                  </w:pPr>
                  <w:r>
                    <w:rPr>
                      <w:rFonts w:hint="eastAsia"/>
                      <w:color w:val="000000" w:themeColor="text1"/>
                      <w:vertAlign w:val="baseline"/>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rPr>
                  </w:pPr>
                  <w:r>
                    <w:rPr>
                      <w:rFonts w:hint="eastAsia"/>
                      <w:color w:val="000000" w:themeColor="text1"/>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2840" w:type="dxa"/>
                  <w:shd w:val="clear" w:color="auto" w:fill="auto"/>
                  <w:vAlign w:val="center"/>
                </w:tcPr>
                <w:p>
                  <w:pPr>
                    <w:widowControl/>
                    <w:spacing w:line="360" w:lineRule="exact"/>
                    <w:jc w:val="left"/>
                    <w:textAlignment w:val="center"/>
                    <w:rPr>
                      <w:rFonts w:hint="default" w:cs="Times New Roman" w:asciiTheme="minorEastAsia" w:hAnsiTheme="minorEastAsia" w:eastAsiaTheme="minorEastAsia"/>
                      <w:kern w:val="2"/>
                      <w:sz w:val="21"/>
                      <w:szCs w:val="21"/>
                      <w:lang w:val="en-US" w:eastAsia="zh-CN" w:bidi="ar-SA"/>
                    </w:rPr>
                  </w:pPr>
                  <w:r>
                    <w:rPr>
                      <w:rFonts w:hint="eastAsia"/>
                      <w:lang w:val="en-US" w:eastAsia="zh-CN"/>
                    </w:rPr>
                    <w:t>污水处理不达标受监管部门处罚风险</w:t>
                  </w:r>
                </w:p>
              </w:tc>
              <w:tc>
                <w:tcPr>
                  <w:tcW w:w="3965" w:type="dxa"/>
                  <w:shd w:val="clear" w:color="auto" w:fill="auto"/>
                  <w:vAlign w:val="top"/>
                </w:tcPr>
                <w:p>
                  <w:pPr>
                    <w:pStyle w:val="13"/>
                    <w:numPr>
                      <w:ilvl w:val="0"/>
                      <w:numId w:val="0"/>
                    </w:numPr>
                    <w:ind w:left="0" w:leftChars="0" w:firstLine="0" w:firstLineChars="0"/>
                    <w:rPr>
                      <w:rFonts w:hint="default" w:cs="Times New Roman" w:asciiTheme="minorEastAsia" w:hAnsiTheme="minorEastAsia" w:eastAsiaTheme="minorEastAsia"/>
                      <w:kern w:val="0"/>
                      <w:sz w:val="21"/>
                      <w:szCs w:val="21"/>
                      <w:lang w:val="en-US" w:eastAsia="zh-CN" w:bidi="ar-SA"/>
                    </w:rPr>
                  </w:pPr>
                  <w:r>
                    <w:rPr>
                      <w:rFonts w:hint="eastAsia"/>
                      <w:lang w:val="en-US" w:eastAsia="zh-CN"/>
                    </w:rPr>
                    <w:t>投入污水处理设备，实施在线监测</w:t>
                  </w:r>
                </w:p>
              </w:tc>
              <w:tc>
                <w:tcPr>
                  <w:tcW w:w="1717" w:type="dxa"/>
                  <w:shd w:val="clear" w:color="auto" w:fill="auto"/>
                  <w:vAlign w:val="top"/>
                </w:tcPr>
                <w:p>
                  <w:pPr>
                    <w:rPr>
                      <w:rFonts w:hint="eastAsia"/>
                      <w:color w:val="0000FF"/>
                      <w:vertAlign w:val="baseline"/>
                      <w:lang w:val="en-US" w:eastAsia="zh-CN"/>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屠宰猪疫病风险</w:t>
                  </w:r>
                </w:p>
              </w:tc>
              <w:tc>
                <w:tcPr>
                  <w:tcW w:w="3965" w:type="dxa"/>
                  <w:shd w:val="clear" w:color="auto" w:fill="auto"/>
                  <w:vAlign w:val="top"/>
                </w:tcPr>
                <w:p>
                  <w:pPr>
                    <w:rPr>
                      <w:rFonts w:hint="eastAsia"/>
                      <w:lang w:val="en-US" w:eastAsia="zh-CN"/>
                    </w:rPr>
                  </w:pPr>
                  <w:r>
                    <w:rPr>
                      <w:rFonts w:hint="eastAsia"/>
                      <w:lang w:val="en-US" w:eastAsia="zh-CN"/>
                    </w:rPr>
                    <w:t>猪入厂进行批检验；</w:t>
                  </w:r>
                </w:p>
                <w:p>
                  <w:pPr>
                    <w:pStyle w:val="2"/>
                    <w:rPr>
                      <w:rFonts w:hint="default" w:ascii="Times New Roman" w:hAnsi="Times New Roman" w:eastAsia="宋体" w:cs="Times New Roman"/>
                      <w:bCs/>
                      <w:spacing w:val="10"/>
                      <w:kern w:val="2"/>
                      <w:sz w:val="21"/>
                      <w:szCs w:val="24"/>
                      <w:lang w:val="en-US" w:eastAsia="zh-CN" w:bidi="ar-SA"/>
                    </w:rPr>
                  </w:pPr>
                  <w:r>
                    <w:rPr>
                      <w:rFonts w:hint="eastAsia" w:ascii="Times New Roman" w:hAnsi="Times New Roman" w:eastAsia="宋体" w:cs="Times New Roman"/>
                      <w:kern w:val="2"/>
                      <w:sz w:val="21"/>
                      <w:szCs w:val="20"/>
                      <w:lang w:val="en-US" w:eastAsia="zh-CN" w:bidi="ar-SA"/>
                    </w:rPr>
                    <w:t>从合格供方检验；</w:t>
                  </w:r>
                </w:p>
              </w:tc>
              <w:tc>
                <w:tcPr>
                  <w:tcW w:w="1717" w:type="dxa"/>
                  <w:shd w:val="clear" w:color="auto" w:fill="auto"/>
                  <w:vAlign w:val="top"/>
                </w:tcPr>
                <w:p>
                  <w:pPr>
                    <w:rPr>
                      <w:rFonts w:hint="eastAsia"/>
                      <w:color w:val="0000FF"/>
                      <w:vertAlign w:val="baseline"/>
                      <w:lang w:val="en-US" w:eastAsia="zh-CN"/>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suppressLineNumbers w:val="0"/>
                    <w:shd w:val="clear"/>
                    <w:spacing w:before="0" w:beforeAutospacing="0" w:after="0" w:afterAutospacing="0"/>
                    <w:ind w:left="0" w:right="0"/>
                    <w:rPr>
                      <w:rFonts w:hint="default"/>
                      <w:color w:val="0000FF"/>
                      <w:vertAlign w:val="baseline"/>
                      <w:lang w:val="en-US" w:eastAsia="zh-CN"/>
                    </w:rPr>
                  </w:pPr>
                </w:p>
              </w:tc>
              <w:tc>
                <w:tcPr>
                  <w:tcW w:w="3965" w:type="dxa"/>
                  <w:shd w:val="clear" w:color="auto" w:fill="auto"/>
                  <w:vAlign w:val="center"/>
                </w:tcPr>
                <w:p>
                  <w:pPr>
                    <w:keepNext w:val="0"/>
                    <w:keepLines w:val="0"/>
                    <w:suppressLineNumbers w:val="0"/>
                    <w:shd w:val="clear"/>
                    <w:spacing w:before="0" w:beforeAutospacing="0" w:after="0" w:afterAutospacing="0"/>
                    <w:ind w:left="0" w:right="0"/>
                    <w:rPr>
                      <w:rFonts w:hint="eastAsia"/>
                      <w:color w:val="0000FF"/>
                      <w:vertAlign w:val="baseline"/>
                      <w:lang w:val="en-US" w:eastAsia="zh-CN"/>
                    </w:rPr>
                  </w:pPr>
                </w:p>
              </w:tc>
              <w:tc>
                <w:tcPr>
                  <w:tcW w:w="1717"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rPr>
                    <w:sym w:font="Wingdings" w:char="00A8"/>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9"/>
              <w:tblW w:w="8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566"/>
              <w:gridCol w:w="1027"/>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91" w:type="dxa"/>
                  <w:shd w:val="clear" w:color="auto" w:fill="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食品安全目标</w:t>
                  </w:r>
                </w:p>
              </w:tc>
              <w:tc>
                <w:tcPr>
                  <w:tcW w:w="2566" w:type="dxa"/>
                  <w:shd w:val="clear" w:color="auto" w:fill="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计算方法</w:t>
                  </w:r>
                </w:p>
              </w:tc>
              <w:tc>
                <w:tcPr>
                  <w:tcW w:w="1027" w:type="dxa"/>
                  <w:shd w:val="clear" w:color="auto" w:fill="auto"/>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责任部门</w:t>
                  </w:r>
                </w:p>
              </w:tc>
              <w:tc>
                <w:tcPr>
                  <w:tcW w:w="2986" w:type="dxa"/>
                  <w:shd w:val="clear" w:color="auto" w:fill="auto"/>
                  <w:vAlign w:val="top"/>
                </w:tcPr>
                <w:p>
                  <w:pPr>
                    <w:rPr>
                      <w:rFonts w:ascii="宋体" w:hAnsi="宋体"/>
                      <w:szCs w:val="21"/>
                      <w:highlight w:val="none"/>
                    </w:rPr>
                  </w:pPr>
                  <w:r>
                    <w:rPr>
                      <w:rFonts w:hint="eastAsia" w:ascii="宋体" w:hAnsi="宋体"/>
                      <w:szCs w:val="21"/>
                      <w:highlight w:val="none"/>
                    </w:rPr>
                    <w:t>目标实际完成</w:t>
                  </w:r>
                </w:p>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val="en-US" w:eastAsia="zh-CN"/>
                    </w:rPr>
                    <w:t>2022年第一季度~第三季度</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生猪进厂检疫率100%</w:t>
                  </w:r>
                </w:p>
              </w:tc>
              <w:tc>
                <w:tcPr>
                  <w:tcW w:w="256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生猪进厂检疫数/生猪进厂检疫总数X100%</w:t>
                  </w:r>
                </w:p>
              </w:tc>
              <w:tc>
                <w:tcPr>
                  <w:tcW w:w="102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检验室</w:t>
                  </w:r>
                </w:p>
              </w:tc>
              <w:tc>
                <w:tcPr>
                  <w:tcW w:w="2986" w:type="dxa"/>
                  <w:shd w:val="clear" w:color="auto" w:fill="auto"/>
                  <w:vAlign w:val="top"/>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肉品出厂检验率100%</w:t>
                  </w:r>
                </w:p>
              </w:tc>
              <w:tc>
                <w:tcPr>
                  <w:tcW w:w="256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肉品出厂检验数/肉品出厂检验总数X100%</w:t>
                  </w:r>
                </w:p>
              </w:tc>
              <w:tc>
                <w:tcPr>
                  <w:tcW w:w="102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检验室</w:t>
                  </w:r>
                </w:p>
              </w:tc>
              <w:tc>
                <w:tcPr>
                  <w:tcW w:w="2986" w:type="dxa"/>
                  <w:shd w:val="clear" w:color="auto" w:fill="auto"/>
                  <w:vAlign w:val="top"/>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病害畜禽及产品无害化处理率100%</w:t>
                  </w:r>
                </w:p>
              </w:tc>
              <w:tc>
                <w:tcPr>
                  <w:tcW w:w="256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病害畜禽及产品无害化</w:t>
                  </w:r>
                  <w:r>
                    <w:rPr>
                      <w:rFonts w:hint="eastAsia"/>
                      <w:color w:val="000000"/>
                      <w:szCs w:val="18"/>
                      <w:highlight w:val="none"/>
                      <w:lang w:val="en-US" w:eastAsia="zh-CN"/>
                    </w:rPr>
                    <w:t>已</w:t>
                  </w:r>
                  <w:r>
                    <w:rPr>
                      <w:rFonts w:hint="eastAsia"/>
                      <w:color w:val="000000"/>
                      <w:szCs w:val="18"/>
                      <w:highlight w:val="none"/>
                      <w:lang w:val="en-US"/>
                    </w:rPr>
                    <w:t>处理</w:t>
                  </w:r>
                  <w:r>
                    <w:rPr>
                      <w:rFonts w:hint="eastAsia"/>
                      <w:color w:val="000000"/>
                      <w:szCs w:val="18"/>
                      <w:highlight w:val="none"/>
                      <w:lang w:val="en-US" w:eastAsia="zh-CN"/>
                    </w:rPr>
                    <w:t>数/</w:t>
                  </w:r>
                  <w:r>
                    <w:rPr>
                      <w:rFonts w:hint="eastAsia"/>
                      <w:color w:val="000000"/>
                      <w:szCs w:val="18"/>
                      <w:highlight w:val="none"/>
                      <w:lang w:val="en-US"/>
                    </w:rPr>
                    <w:t>病害畜禽及产品无害化处理</w:t>
                  </w:r>
                  <w:r>
                    <w:rPr>
                      <w:rFonts w:hint="eastAsia"/>
                      <w:color w:val="000000"/>
                      <w:szCs w:val="18"/>
                      <w:highlight w:val="none"/>
                      <w:lang w:val="en-US" w:eastAsia="zh-CN"/>
                    </w:rPr>
                    <w:t>总数X100%</w:t>
                  </w:r>
                </w:p>
              </w:tc>
              <w:tc>
                <w:tcPr>
                  <w:tcW w:w="102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加工厂</w:t>
                  </w:r>
                </w:p>
              </w:tc>
              <w:tc>
                <w:tcPr>
                  <w:tcW w:w="2986" w:type="dxa"/>
                  <w:shd w:val="clear" w:color="auto" w:fill="auto"/>
                  <w:vAlign w:val="top"/>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顾客满意率</w:t>
                  </w:r>
                  <w:r>
                    <w:rPr>
                      <w:rFonts w:hint="eastAsia"/>
                      <w:color w:val="000000"/>
                      <w:szCs w:val="18"/>
                      <w:highlight w:val="none"/>
                      <w:lang w:val="en-US" w:eastAsia="zh-CN"/>
                    </w:rPr>
                    <w:t>≥</w:t>
                  </w:r>
                  <w:r>
                    <w:rPr>
                      <w:rFonts w:hint="eastAsia"/>
                      <w:color w:val="000000"/>
                      <w:szCs w:val="18"/>
                      <w:highlight w:val="none"/>
                      <w:lang w:val="en-US"/>
                    </w:rPr>
                    <w:t>90%</w:t>
                  </w:r>
                </w:p>
              </w:tc>
              <w:tc>
                <w:tcPr>
                  <w:tcW w:w="256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顾客满意度调查</w:t>
                  </w:r>
                </w:p>
              </w:tc>
              <w:tc>
                <w:tcPr>
                  <w:tcW w:w="102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加工厂</w:t>
                  </w:r>
                </w:p>
              </w:tc>
              <w:tc>
                <w:tcPr>
                  <w:tcW w:w="2986" w:type="dxa"/>
                  <w:shd w:val="clear" w:color="auto" w:fill="auto"/>
                  <w:vAlign w:val="top"/>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完成96.5%</w:t>
                  </w:r>
                </w:p>
              </w:tc>
            </w:tr>
          </w:tbl>
          <w:p>
            <w:pPr>
              <w:pStyle w:val="13"/>
              <w:rPr>
                <w:rFonts w:hint="eastAsia"/>
                <w:vertAlign w:val="baseline"/>
                <w:lang w:val="en-US" w:eastAsia="zh-CN"/>
              </w:rPr>
            </w:pPr>
          </w:p>
          <w:p>
            <w:pPr>
              <w:pStyle w:val="13"/>
              <w:rPr>
                <w:rFonts w:hint="default"/>
                <w:vertAlign w:val="baseline"/>
                <w:lang w:val="en-US" w:eastAsia="zh-CN"/>
              </w:rPr>
            </w:pPr>
            <w:r>
              <w:rPr>
                <w:rFonts w:hint="eastAsia"/>
                <w:vertAlign w:val="baseline"/>
                <w:lang w:val="en-US" w:eastAsia="zh-CN"/>
              </w:rPr>
              <w:t>2021年度已完成</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hd w:val="clear"/>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sym w:font="Wingdings 2" w:char="0052"/>
            </w:r>
            <w:r>
              <w:rPr>
                <w:rFonts w:hint="eastAsia"/>
                <w:lang w:val="en-US" w:eastAsia="zh-CN"/>
              </w:rPr>
              <w:t>无变更</w:t>
            </w:r>
          </w:p>
          <w:p>
            <w:pPr>
              <w:keepNext w:val="0"/>
              <w:keepLines w:val="0"/>
              <w:suppressLineNumbers w:val="0"/>
              <w:shd w:val="clear"/>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highlight w:val="none"/>
                <w:u w:val="single"/>
              </w:rPr>
              <w:t>1</w:t>
            </w:r>
            <w:r>
              <w:rPr>
                <w:rFonts w:hint="eastAsia"/>
                <w:highlight w:val="none"/>
                <w:u w:val="single"/>
                <w:lang w:val="en-US" w:eastAsia="zh-CN"/>
              </w:rPr>
              <w:t>7</w:t>
            </w:r>
            <w:r>
              <w:rPr>
                <w:highlight w:val="none"/>
                <w:u w:val="single"/>
              </w:rPr>
              <w:t>500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1 </w:t>
            </w:r>
            <w:r>
              <w:rPr>
                <w:rFonts w:hint="eastAsia"/>
                <w:highlight w:val="none"/>
              </w:rPr>
              <w:t>个；</w:t>
            </w:r>
            <w:r>
              <w:rPr>
                <w:rFonts w:hint="eastAsia"/>
                <w:highlight w:val="none"/>
                <w:lang w:val="en-US" w:eastAsia="zh-CN"/>
              </w:rPr>
              <w:t>检验室</w:t>
            </w:r>
            <w:r>
              <w:rPr>
                <w:rFonts w:hint="eastAsia"/>
                <w:highlight w:val="none"/>
                <w:u w:val="single"/>
                <w:lang w:val="en-US" w:eastAsia="zh-CN"/>
              </w:rPr>
              <w:t xml:space="preserve">  1 </w:t>
            </w:r>
            <w:r>
              <w:rPr>
                <w:rFonts w:hint="eastAsia"/>
                <w:highlight w:val="none"/>
              </w:rPr>
              <w:t>个；库房</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 xml:space="preserve"> 托胸活挂输送机、不锈钢沥血槽、猪体清洗机、刮毛机、双轨提升机、爬坡机、扣脚提升机、桥式劈半锯、双轨三项道岔、污水在线监测系统     等</w:t>
            </w:r>
            <w:r>
              <w:rPr>
                <w:rFonts w:hint="eastAsia"/>
                <w:highlight w:val="none"/>
                <w:u w:val="single"/>
              </w:rPr>
              <w:t xml:space="preserve"> </w:t>
            </w:r>
            <w:r>
              <w:rPr>
                <w:highlight w:val="none"/>
                <w:u w:val="single"/>
              </w:rPr>
              <w:t xml:space="preserve"> </w:t>
            </w:r>
            <w:r>
              <w:rPr>
                <w:rFonts w:hint="eastAsia"/>
                <w:highlight w:val="none"/>
                <w:u w:val="single"/>
              </w:rPr>
              <w:t>（列举2~4种）</w:t>
            </w:r>
          </w:p>
          <w:p>
            <w:pPr>
              <w:keepNext w:val="0"/>
              <w:keepLines w:val="0"/>
              <w:widowControl w:val="0"/>
              <w:numPr>
                <w:ilvl w:val="0"/>
                <w:numId w:val="0"/>
              </w:numPr>
              <w:suppressLineNumbers w:val="0"/>
              <w:shd w:val="clear"/>
              <w:spacing w:before="0" w:beforeAutospacing="0" w:after="0" w:afterAutospacing="0"/>
              <w:ind w:left="0" w:right="0"/>
              <w:jc w:val="both"/>
              <w:rPr>
                <w:rFonts w:hint="eastAsia"/>
                <w:u w:val="single"/>
                <w:vertAlign w:val="baseline"/>
                <w:lang w:val="en-US" w:eastAsia="zh-CN"/>
              </w:rPr>
            </w:pPr>
            <w:r>
              <w:rPr>
                <w:rFonts w:hint="eastAsia"/>
                <w:u w:val="single"/>
                <w:vertAlign w:val="baseline"/>
                <w:lang w:val="en-US" w:eastAsia="zh-CN"/>
              </w:rPr>
              <w:t>——审核周期内增加了污水处理工程、污水在线监测系统</w:t>
            </w:r>
          </w:p>
          <w:p>
            <w:pPr>
              <w:pStyle w:val="13"/>
              <w:rPr>
                <w:rFonts w:hint="default"/>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FE"/>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pStyle w:val="8"/>
              <w:keepNext w:val="0"/>
              <w:keepLines w:val="0"/>
              <w:pageBreakBefore w:val="0"/>
              <w:widowControl w:val="0"/>
              <w:tabs>
                <w:tab w:val="clear" w:pos="1560"/>
                <w:tab w:val="clear" w:pos="1985"/>
              </w:tabs>
              <w:kinsoku/>
              <w:wordWrap/>
              <w:overflowPunct/>
              <w:topLinePunct w:val="0"/>
              <w:autoSpaceDE/>
              <w:autoSpaceDN/>
              <w:bidi w:val="0"/>
              <w:adjustRightInd/>
              <w:snapToGrid/>
              <w:spacing w:after="0" w:line="360" w:lineRule="auto"/>
              <w:ind w:left="0" w:leftChars="0" w:right="105" w:rightChars="50" w:firstLine="0" w:firstLineChars="0"/>
              <w:jc w:val="left"/>
              <w:textAlignment w:val="auto"/>
              <w:rPr>
                <w:rFonts w:hint="default"/>
                <w:color w:val="FF0000"/>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numPr>
                <w:ilvl w:val="0"/>
                <w:numId w:val="0"/>
              </w:numPr>
              <w:shd w:val="clear"/>
              <w:snapToGrid w:val="0"/>
              <w:spacing w:line="360" w:lineRule="auto"/>
              <w:rPr>
                <w:rFonts w:hint="default"/>
                <w:u w:val="single"/>
                <w:vertAlign w:val="baseline"/>
                <w:lang w:val="en-US" w:eastAsia="zh-CN"/>
              </w:rPr>
            </w:pPr>
            <w:r>
              <w:rPr>
                <w:rFonts w:hint="eastAsia"/>
                <w:lang w:eastAsia="zh-CN"/>
              </w:rPr>
              <w:sym w:font="Wingdings 2" w:char="00A3"/>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 xml:space="preserve">基础设施可基本满足质量管理体系运行，但是还有不足需要补充： </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color w:val="000000" w:themeColor="text1"/>
                <w:u w:val="single"/>
                <w:vertAlign w:val="baseline"/>
                <w:lang w:val="en-US" w:eastAsia="zh-CN"/>
              </w:rPr>
              <w:t>电子称、压力温度计、荧光PCR测定仪           （列举1~4种）</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定期校准/检定的有：</w:t>
            </w:r>
            <w:r>
              <w:rPr>
                <w:rFonts w:hint="eastAsia"/>
                <w:color w:val="auto"/>
                <w:u w:val="single"/>
                <w:vertAlign w:val="baseline"/>
                <w:lang w:val="en-US" w:eastAsia="zh-CN"/>
              </w:rPr>
              <w:t xml:space="preserve"> </w:t>
            </w:r>
            <w:r>
              <w:rPr>
                <w:rFonts w:hint="eastAsia"/>
                <w:color w:val="auto"/>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FE"/>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组织已建立了文件化的质量管理体系。对自编文件的编制、审批、发放、变更和作废进行了控制。</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hd w:val="clear"/>
              <w:spacing w:before="0" w:beforeAutospacing="0" w:after="0" w:afterAutospacing="0"/>
              <w:ind w:left="0" w:right="0"/>
              <w:rPr>
                <w:rFonts w:hint="eastAsia"/>
                <w:vertAlign w:val="baseline"/>
                <w:lang w:val="en-US" w:eastAsia="zh-CN"/>
              </w:rPr>
            </w:pPr>
          </w:p>
          <w:p>
            <w:pPr>
              <w:keepNext w:val="0"/>
              <w:keepLines w:val="0"/>
              <w:suppressLineNumbers w:val="0"/>
              <w:shd w:val="clear"/>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hd w:val="clear"/>
              <w:spacing w:before="0" w:beforeAutospacing="0" w:after="0" w:afterAutospacing="0"/>
              <w:ind w:left="0" w:right="0"/>
              <w:rPr>
                <w:rFonts w:hint="default" w:eastAsia="宋体"/>
                <w:vertAlign w:val="baselin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strike/>
                <w:dstrike w:val="0"/>
                <w:vertAlign w:val="baseline"/>
                <w:lang w:eastAsia="zh-CN"/>
              </w:rPr>
            </w:pPr>
            <w:r>
              <w:rPr>
                <w:rFonts w:hint="eastAsia"/>
                <w:strike/>
                <w:dstrike w:val="0"/>
                <w:vertAlign w:val="baseline"/>
              </w:rPr>
              <w:t>组织建立、实施和保持</w:t>
            </w:r>
            <w:r>
              <w:rPr>
                <w:rFonts w:hint="eastAsia"/>
                <w:strike/>
                <w:dstrike w:val="0"/>
                <w:vertAlign w:val="baseline"/>
                <w:lang w:val="en-US" w:eastAsia="zh-CN"/>
              </w:rPr>
              <w:t>了</w:t>
            </w:r>
            <w:r>
              <w:rPr>
                <w:rFonts w:hint="eastAsia"/>
                <w:strike/>
                <w:dstrike w:val="0"/>
                <w:vertAlign w:val="baseline"/>
              </w:rPr>
              <w:t>适当的设计和开发过程，以确保后续的产品和服务的提供</w:t>
            </w:r>
            <w:r>
              <w:rPr>
                <w:rFonts w:hint="eastAsia"/>
                <w:strike/>
                <w:dstrike w:val="0"/>
                <w:vertAlign w:val="baseline"/>
                <w:lang w:eastAsia="zh-CN"/>
              </w:rPr>
              <w:t>。（</w:t>
            </w:r>
            <w:r>
              <w:rPr>
                <w:rFonts w:hint="eastAsia"/>
                <w:strike/>
                <w:dstrike w:val="0"/>
                <w:vertAlign w:val="baseline"/>
                <w:lang w:val="en-US" w:eastAsia="zh-CN"/>
              </w:rPr>
              <w:t>适用时</w:t>
            </w:r>
            <w:r>
              <w:rPr>
                <w:rFonts w:hint="eastAsia"/>
                <w:strike/>
                <w:dstrike w:val="0"/>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strike/>
                <w:dstrike w:val="0"/>
                <w:color w:val="000000" w:themeColor="text1"/>
                <w:vertAlign w:val="baseline"/>
                <w:lang w:val="en-US" w:eastAsia="zh-CN"/>
              </w:rPr>
              <w:t>审核期间内设计和开发新产品/项目名称：</w:t>
            </w:r>
            <w:r>
              <w:rPr>
                <w:rFonts w:hint="eastAsia"/>
                <w:strike/>
                <w:dstrike w:val="0"/>
                <w:color w:val="000000" w:themeColor="text1"/>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不适用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strike/>
                <w:dstrike w:val="0"/>
                <w:vertAlign w:val="baseline"/>
                <w:lang w:val="en-US" w:eastAsia="zh-CN"/>
              </w:rPr>
            </w:pPr>
            <w:r>
              <w:rPr>
                <w:rFonts w:hint="eastAsia"/>
                <w:strike/>
                <w:dstrike w:val="0"/>
                <w:vertAlign w:val="baseline"/>
                <w:lang w:val="en-US" w:eastAsia="zh-CN"/>
              </w:rPr>
              <w:t>该项目的设计和开发的输入、输出、变更进行了控制。</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strike/>
                <w:dstrike w:val="0"/>
                <w:highlight w:val="none"/>
                <w:vertAlign w:val="baseline"/>
                <w:lang w:val="en-US" w:eastAsia="zh-CN"/>
              </w:rPr>
              <w:t>设计和开发控制：</w:t>
            </w:r>
            <w:r>
              <w:rPr>
                <w:rFonts w:hint="eastAsia"/>
                <w:strike/>
                <w:dstrike w:val="0"/>
                <w:highlight w:val="none"/>
                <w:vertAlign w:val="baseline"/>
                <w:lang w:val="en-US" w:eastAsia="zh-CN"/>
              </w:rPr>
              <w:sym w:font="Wingdings" w:char="00A8"/>
            </w:r>
            <w:r>
              <w:rPr>
                <w:rFonts w:hint="eastAsia"/>
                <w:strike/>
                <w:dstrike w:val="0"/>
                <w:vertAlign w:val="baseline"/>
                <w:lang w:val="en-US" w:eastAsia="zh-CN"/>
              </w:rPr>
              <w:t>符合要求</w:t>
            </w:r>
            <w:r>
              <w:rPr>
                <w:rFonts w:hint="eastAsia"/>
                <w:strike/>
                <w:dstrike w:val="0"/>
                <w:highlight w:val="none"/>
                <w:u w:val="none"/>
                <w:vertAlign w:val="baseline"/>
                <w:lang w:val="en-US" w:eastAsia="zh-CN"/>
              </w:rPr>
              <w:t xml:space="preserve"> </w:t>
            </w:r>
            <w:r>
              <w:rPr>
                <w:rFonts w:hint="eastAsia"/>
                <w:strike/>
                <w:dstrike w:val="0"/>
                <w:highlight w:val="none"/>
                <w:vertAlign w:val="baseline"/>
                <w:lang w:val="en-US" w:eastAsia="zh-CN"/>
              </w:rPr>
              <w:sym w:font="Wingdings" w:char="00A8"/>
            </w:r>
            <w:r>
              <w:rPr>
                <w:rFonts w:hint="eastAsia"/>
                <w:strike/>
                <w:dstrike w:val="0"/>
                <w:highlight w:val="none"/>
                <w:vertAlign w:val="baseline"/>
                <w:lang w:val="en-US" w:eastAsia="zh-CN"/>
              </w:rPr>
              <w:t>存在不足，说明</w:t>
            </w:r>
            <w:r>
              <w:rPr>
                <w:rFonts w:hint="eastAsia"/>
                <w:strike/>
                <w:dstrike w:val="0"/>
                <w:highlight w:val="none"/>
                <w:u w:val="single"/>
                <w:vertAlign w:val="baseline"/>
                <w:lang w:val="en-US" w:eastAsia="zh-CN"/>
              </w:rPr>
              <w:t xml:space="preserve">                                     </w:t>
            </w:r>
            <w:r>
              <w:rPr>
                <w:rFonts w:hint="eastAsia"/>
                <w:strike/>
                <w:dstrike w:val="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产品储存</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552"/>
              <w:gridCol w:w="5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产品/服务名称</w:t>
                  </w:r>
                </w:p>
              </w:tc>
              <w:tc>
                <w:tcPr>
                  <w:tcW w:w="155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关键过程</w:t>
                  </w:r>
                </w:p>
              </w:tc>
              <w:tc>
                <w:tcPr>
                  <w:tcW w:w="5130"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vAlign w:val="top"/>
                </w:tcPr>
                <w:p>
                  <w:pPr>
                    <w:pStyle w:val="13"/>
                    <w:rPr>
                      <w:rFonts w:hint="default"/>
                      <w:highlight w:val="none"/>
                      <w:lang w:val="en-US" w:eastAsia="zh-CN"/>
                    </w:rPr>
                  </w:pPr>
                  <w:r>
                    <w:rPr>
                      <w:rFonts w:hint="eastAsia"/>
                      <w:highlight w:val="none"/>
                      <w:lang w:val="en-US" w:eastAsia="zh-CN"/>
                    </w:rPr>
                    <w:t>生猪屠宰</w:t>
                  </w:r>
                </w:p>
              </w:tc>
              <w:tc>
                <w:tcPr>
                  <w:tcW w:w="155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highlight w:val="none"/>
                      <w:lang w:val="en-US" w:eastAsia="zh-CN"/>
                    </w:rPr>
                    <w:t>生猪验收</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highlight w:val="none"/>
                      <w:lang w:val="en-US" w:eastAsia="zh-CN"/>
                    </w:rPr>
                  </w:pPr>
                  <w:r>
                    <w:rPr>
                      <w:rFonts w:hint="eastAsia"/>
                      <w:highlight w:val="none"/>
                      <w:lang w:val="en-US" w:eastAsia="zh-CN"/>
                    </w:rPr>
                    <w:t>疫病、兽药残留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55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宰前检验</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55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宰中检验</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55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宰后检验</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疫病、肉品品质</w:t>
                  </w:r>
                </w:p>
              </w:tc>
            </w:tr>
          </w:tbl>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u w:val="none"/>
                <w:vertAlign w:val="baseline"/>
                <w:lang w:val="en-US" w:eastAsia="zh-CN"/>
              </w:rPr>
            </w:pPr>
            <w:r>
              <w:rPr>
                <w:rFonts w:hint="eastAsia"/>
                <w:highlight w:val="none"/>
                <w:vertAlign w:val="baseline"/>
                <w:lang w:val="en-US" w:eastAsia="zh-CN"/>
              </w:rPr>
              <w:t>需要确认的过程：</w:t>
            </w:r>
            <w:r>
              <w:rPr>
                <w:rFonts w:hint="eastAsia"/>
                <w:highlight w:val="none"/>
                <w:u w:val="single"/>
                <w:vertAlign w:val="baseline"/>
                <w:lang w:val="en-US" w:eastAsia="zh-CN"/>
              </w:rPr>
              <w:t xml:space="preserve"> 无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——不适用        </w:t>
            </w:r>
            <w:r>
              <w:rPr>
                <w:rFonts w:hint="eastAsia"/>
                <w:vertAlign w:val="baseline"/>
                <w:lang w:val="en-US"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A8"/>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FE"/>
            </w:r>
            <w:r>
              <w:rPr>
                <w:rFonts w:hint="eastAsia"/>
                <w:highlight w:val="none"/>
                <w:vertAlign w:val="baseline"/>
                <w:lang w:val="en-US" w:eastAsia="zh-CN"/>
              </w:rPr>
              <w:t>其他——生猪</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其他——品质反馈</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FE"/>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《检验报告》，</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如：</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u w:val="single"/>
                <w:vertAlign w:val="baseline"/>
                <w:lang w:val="en-US" w:eastAsia="zh-CN"/>
              </w:rPr>
            </w:pPr>
            <w:r>
              <w:rPr>
                <w:rFonts w:hint="eastAsia"/>
                <w:color w:val="000000" w:themeColor="text1"/>
                <w:highlight w:val="none"/>
                <w:u w:val="single"/>
                <w:vertAlign w:val="baseline"/>
                <w:lang w:val="en-US" w:eastAsia="zh-CN"/>
              </w:rPr>
              <w:t>猪肉</w:t>
            </w:r>
            <w:r>
              <w:rPr>
                <w:rFonts w:hint="eastAsia"/>
                <w:color w:val="auto"/>
                <w:highlight w:val="none"/>
                <w:u w:val="single"/>
              </w:rPr>
              <w:t>报告编号：No.22NF0223028</w:t>
            </w:r>
            <w:r>
              <w:rPr>
                <w:rFonts w:hint="eastAsia"/>
                <w:u w:val="single"/>
              </w:rPr>
              <w:t xml:space="preserve"> </w:t>
            </w:r>
            <w:r>
              <w:rPr>
                <w:rFonts w:hint="eastAsia"/>
                <w:color w:val="auto"/>
                <w:highlight w:val="none"/>
                <w:u w:val="single"/>
                <w:lang w:val="en-US" w:eastAsia="zh-CN"/>
              </w:rPr>
              <w:t xml:space="preserve"> </w:t>
            </w:r>
            <w:r>
              <w:rPr>
                <w:rFonts w:hint="eastAsia"/>
                <w:color w:val="auto"/>
                <w:highlight w:val="none"/>
                <w:u w:val="single"/>
              </w:rPr>
              <w:t>报告日期：</w:t>
            </w:r>
            <w:r>
              <w:rPr>
                <w:rFonts w:hint="eastAsia"/>
                <w:u w:val="single"/>
                <w:lang w:val="en-US" w:eastAsia="zh-CN"/>
              </w:rPr>
              <w:t>2022-03-01</w:t>
            </w:r>
            <w:r>
              <w:rPr>
                <w:rFonts w:hint="eastAsia"/>
                <w:color w:val="000000" w:themeColor="text1"/>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u w:val="single"/>
                <w:vertAlign w:val="baseline"/>
                <w:lang w:val="en-US" w:eastAsia="zh-CN"/>
              </w:rPr>
              <w:t>猪肝</w:t>
            </w:r>
            <w:r>
              <w:rPr>
                <w:rFonts w:hint="eastAsia"/>
                <w:color w:val="auto"/>
                <w:highlight w:val="none"/>
                <w:u w:val="single"/>
              </w:rPr>
              <w:t>报告编号：</w:t>
            </w:r>
            <w:r>
              <w:rPr>
                <w:rFonts w:hint="eastAsia"/>
                <w:color w:val="auto"/>
                <w:highlight w:val="none"/>
                <w:u w:val="single"/>
                <w:lang w:val="en-US" w:eastAsia="zh-CN"/>
              </w:rPr>
              <w:t xml:space="preserve">No.22NF0223023 </w:t>
            </w:r>
            <w:r>
              <w:rPr>
                <w:rFonts w:hint="eastAsia"/>
                <w:color w:val="auto"/>
                <w:highlight w:val="none"/>
                <w:u w:val="single"/>
              </w:rPr>
              <w:t>报告日期：</w:t>
            </w:r>
            <w:r>
              <w:rPr>
                <w:rFonts w:hint="eastAsia"/>
                <w:u w:val="single"/>
                <w:lang w:val="en-US" w:eastAsia="zh-CN"/>
              </w:rPr>
              <w:t>2022-03-01</w:t>
            </w:r>
            <w:r>
              <w:rPr>
                <w:rFonts w:hint="eastAsia"/>
                <w:color w:val="000000" w:themeColor="text1"/>
                <w:highlight w:val="none"/>
                <w:u w:val="single"/>
                <w:vertAlign w:val="baseline"/>
                <w:lang w:val="en-US" w:eastAsia="zh-CN"/>
              </w:rPr>
              <w:t xml:space="preserve">       </w:t>
            </w:r>
          </w:p>
          <w:p>
            <w:pPr>
              <w:pStyle w:val="13"/>
              <w:rPr>
                <w:rFonts w:hint="default"/>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产品检验/服务放行：</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存在不足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auto"/>
                <w:highlight w:val="none"/>
                <w:u w:val="single"/>
                <w:vertAlign w:val="baseline"/>
                <w:lang w:val="en-US" w:eastAsia="zh-CN"/>
              </w:rPr>
              <w:t xml:space="preserve">    </w:t>
            </w:r>
            <w:r>
              <w:rPr>
                <w:rFonts w:hint="eastAsia"/>
                <w:color w:val="auto"/>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A8"/>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t>组织已</w:t>
            </w:r>
            <w:r>
              <w:rPr>
                <w:rFonts w:hint="eastAsia"/>
                <w:highlight w:val="none"/>
                <w:vertAlign w:val="baseline"/>
              </w:rPr>
              <w:fldChar w:fldCharType="begin"/>
            </w:r>
            <w:r>
              <w:rPr>
                <w:rFonts w:hint="eastAsia"/>
                <w:highlight w:val="none"/>
                <w:vertAlign w:val="baseline"/>
              </w:rPr>
              <w:fldChar w:fldCharType="end"/>
            </w:r>
            <w:r>
              <w:rPr>
                <w:rFonts w:hint="eastAsia"/>
                <w:highlight w:val="none"/>
                <w:vertAlign w:val="baseline"/>
                <w:lang w:eastAsia="zh-CN"/>
              </w:rPr>
              <w:t>通过年度</w:t>
            </w:r>
            <w:r>
              <w:rPr>
                <w:rFonts w:hint="eastAsia"/>
                <w:highlight w:val="none"/>
                <w:vertAlign w:val="baseline"/>
                <w:lang w:val="en-US" w:eastAsia="zh-CN"/>
              </w:rPr>
              <w:t>策</w:t>
            </w:r>
            <w:r>
              <w:rPr>
                <w:rFonts w:hint="eastAsia"/>
                <w:highlight w:val="none"/>
                <w:vertAlign w:val="baseline"/>
                <w:lang w:eastAsia="zh-CN"/>
              </w:rPr>
              <w:t>划</w:t>
            </w:r>
            <w:r>
              <w:rPr>
                <w:rFonts w:hint="eastAsia"/>
                <w:highlight w:val="none"/>
                <w:vertAlign w:val="baseline"/>
                <w:lang w:val="en-US" w:eastAsia="zh-CN"/>
              </w:rPr>
              <w:t>于</w:t>
            </w:r>
            <w:r>
              <w:rPr>
                <w:rFonts w:hint="eastAsia"/>
                <w:highlight w:val="none"/>
                <w:u w:val="single"/>
                <w:vertAlign w:val="baseline"/>
                <w:lang w:val="en-US" w:eastAsia="zh-CN"/>
              </w:rPr>
              <w:t>2022</w:t>
            </w:r>
            <w:r>
              <w:rPr>
                <w:rFonts w:hint="eastAsia"/>
                <w:highlight w:val="none"/>
                <w:vertAlign w:val="baseline"/>
                <w:lang w:val="en-US" w:eastAsia="zh-CN"/>
              </w:rPr>
              <w:t>年</w:t>
            </w:r>
            <w:r>
              <w:rPr>
                <w:rFonts w:hint="eastAsia"/>
                <w:highlight w:val="none"/>
                <w:u w:val="single"/>
                <w:vertAlign w:val="baseline"/>
                <w:lang w:val="en-US" w:eastAsia="zh-CN"/>
              </w:rPr>
              <w:t xml:space="preserve"> 6 </w:t>
            </w:r>
            <w:r>
              <w:rPr>
                <w:rFonts w:hint="eastAsia"/>
                <w:highlight w:val="none"/>
                <w:vertAlign w:val="baseline"/>
                <w:lang w:val="en-US" w:eastAsia="zh-CN"/>
              </w:rPr>
              <w:t>月</w:t>
            </w:r>
            <w:r>
              <w:rPr>
                <w:rFonts w:hint="eastAsia"/>
                <w:highlight w:val="none"/>
                <w:u w:val="single"/>
                <w:vertAlign w:val="baseline"/>
                <w:lang w:val="en-US" w:eastAsia="zh-CN"/>
              </w:rPr>
              <w:t xml:space="preserve"> 22-24 </w:t>
            </w:r>
            <w:r>
              <w:rPr>
                <w:rFonts w:hint="eastAsia"/>
                <w:highlight w:val="none"/>
                <w:vertAlign w:val="baseline"/>
                <w:lang w:val="en-US" w:eastAsia="zh-CN"/>
              </w:rPr>
              <w:t>日实施了质量管理</w:t>
            </w:r>
            <w:r>
              <w:rPr>
                <w:rFonts w:hint="eastAsia"/>
                <w:highlight w:val="none"/>
                <w:vertAlign w:val="baseline"/>
                <w:lang w:eastAsia="zh-CN"/>
              </w:rPr>
              <w:t>体系</w:t>
            </w:r>
            <w:r>
              <w:rPr>
                <w:rFonts w:hint="eastAsia"/>
                <w:highlight w:val="none"/>
                <w:vertAlign w:val="baseline"/>
                <w:lang w:val="en-US" w:eastAsia="zh-CN"/>
              </w:rPr>
              <w:t>内部</w:t>
            </w:r>
            <w:r>
              <w:rPr>
                <w:rFonts w:hint="eastAsia"/>
                <w:highlight w:val="none"/>
                <w:vertAlign w:val="baseline"/>
                <w:lang w:eastAsia="zh-CN"/>
              </w:rPr>
              <w:t>审核，对</w:t>
            </w:r>
            <w:r>
              <w:rPr>
                <w:rFonts w:hint="eastAsia"/>
                <w:highlight w:val="none"/>
                <w:vertAlign w:val="baseline"/>
                <w:lang w:val="en-US" w:eastAsia="zh-CN"/>
              </w:rPr>
              <w:t>质量</w:t>
            </w:r>
            <w:r>
              <w:rPr>
                <w:rFonts w:hint="eastAsia"/>
                <w:highlight w:val="none"/>
                <w:vertAlign w:val="baseline"/>
                <w:lang w:eastAsia="zh-CN"/>
              </w:rPr>
              <w:t>管理体系的</w:t>
            </w:r>
            <w:r>
              <w:rPr>
                <w:rFonts w:hint="eastAsia"/>
                <w:highlight w:val="none"/>
                <w:vertAlign w:val="baseline"/>
                <w:lang w:val="en-US" w:eastAsia="zh-CN"/>
              </w:rPr>
              <w:t>符合性</w:t>
            </w:r>
            <w:r>
              <w:rPr>
                <w:rFonts w:hint="eastAsia"/>
                <w:highlight w:val="none"/>
                <w:vertAlign w:val="baseline"/>
                <w:lang w:eastAsia="zh-CN"/>
              </w:rPr>
              <w:t>和有效性进行</w:t>
            </w:r>
            <w:r>
              <w:rPr>
                <w:rFonts w:hint="eastAsia"/>
                <w:highlight w:val="none"/>
                <w:vertAlign w:val="baseline"/>
                <w:lang w:val="en-US" w:eastAsia="zh-CN"/>
              </w:rPr>
              <w:t>了审核</w:t>
            </w:r>
            <w:r>
              <w:rPr>
                <w:rFonts w:hint="eastAsia"/>
                <w:highlight w:val="none"/>
                <w:vertAlign w:val="baseline"/>
                <w:lang w:eastAsia="zh-CN"/>
              </w:rPr>
              <w:t>。内审发现的</w:t>
            </w:r>
            <w:r>
              <w:rPr>
                <w:rFonts w:hint="eastAsia"/>
                <w:highlight w:val="none"/>
                <w:u w:val="single"/>
                <w:vertAlign w:val="baseline"/>
                <w:lang w:val="en-US" w:eastAsia="zh-CN"/>
              </w:rPr>
              <w:t xml:space="preserve"> 1 </w:t>
            </w:r>
            <w:r>
              <w:rPr>
                <w:rFonts w:hint="eastAsia"/>
                <w:highlight w:val="none"/>
                <w:vertAlign w:val="baseline"/>
                <w:lang w:val="en-US" w:eastAsia="zh-CN"/>
              </w:rPr>
              <w:t>项</w:t>
            </w:r>
            <w:r>
              <w:rPr>
                <w:rFonts w:hint="eastAsia"/>
                <w:highlight w:val="none"/>
                <w:vertAlign w:val="baseline"/>
                <w:lang w:eastAsia="zh-CN"/>
              </w:rPr>
              <w:t>不符合在本次审核前已</w:t>
            </w:r>
            <w:r>
              <w:rPr>
                <w:rFonts w:hint="eastAsia"/>
                <w:highlight w:val="none"/>
                <w:vertAlign w:val="baseline"/>
                <w:lang w:val="en-US" w:eastAsia="zh-CN"/>
              </w:rPr>
              <w:t>完成整改</w:t>
            </w:r>
            <w:r>
              <w:rPr>
                <w:rFonts w:hint="eastAsia"/>
                <w:highlight w:val="none"/>
                <w:vertAlign w:val="baseline"/>
                <w:lang w:eastAsia="zh-CN"/>
              </w:rPr>
              <w:t>。在公司内完成的这些审核是可信的。</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r>
              <w:rPr>
                <w:rFonts w:hint="eastAsia"/>
                <w:vertAlign w:val="baseline"/>
                <w:lang w:val="en-US" w:eastAsia="zh-CN"/>
              </w:rPr>
              <w:t>不适用</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不适用</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7</w:t>
            </w:r>
            <w:r>
              <w:rPr>
                <w:rFonts w:hint="eastAsia"/>
                <w:vertAlign w:val="baseline"/>
                <w:lang w:val="en-US" w:eastAsia="zh-CN"/>
              </w:rPr>
              <w:t>月</w:t>
            </w:r>
            <w:r>
              <w:rPr>
                <w:rFonts w:hint="eastAsia"/>
                <w:u w:val="single"/>
                <w:vertAlign w:val="baseline"/>
                <w:lang w:val="en-US" w:eastAsia="zh-CN"/>
              </w:rPr>
              <w:t xml:space="preserve">15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A8"/>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shd w:val="clear" w:color="auto"/>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4.1</w:t>
            </w:r>
          </w:p>
        </w:tc>
        <w:tc>
          <w:tcPr>
            <w:tcW w:w="650" w:type="dxa"/>
            <w:vAlign w:val="center"/>
          </w:tcPr>
          <w:p>
            <w:pPr>
              <w:shd w:val="clear" w:color="auto"/>
              <w:rPr>
                <w:lang w:eastAsia="ja-JP"/>
              </w:rPr>
            </w:pPr>
            <w:r>
              <w:rPr>
                <w:rFonts w:hint="eastAsia"/>
              </w:rPr>
              <w:t>4.2</w:t>
            </w:r>
          </w:p>
        </w:tc>
        <w:tc>
          <w:tcPr>
            <w:tcW w:w="650" w:type="dxa"/>
            <w:vAlign w:val="center"/>
          </w:tcPr>
          <w:p>
            <w:pPr>
              <w:shd w:val="clear" w:color="auto"/>
              <w:rPr>
                <w:lang w:eastAsia="ja-JP"/>
              </w:rPr>
            </w:pPr>
            <w:r>
              <w:rPr>
                <w:rFonts w:hint="eastAsia"/>
              </w:rPr>
              <w:t>4.3</w:t>
            </w:r>
          </w:p>
        </w:tc>
        <w:tc>
          <w:tcPr>
            <w:tcW w:w="649" w:type="dxa"/>
            <w:vAlign w:val="center"/>
          </w:tcPr>
          <w:p>
            <w:pPr>
              <w:shd w:val="clear" w:color="auto"/>
              <w:rPr>
                <w:lang w:eastAsia="ja-JP"/>
              </w:rPr>
            </w:pPr>
            <w:r>
              <w:rPr>
                <w:rFonts w:hint="eastAsia"/>
              </w:rPr>
              <w:t>4.4</w:t>
            </w:r>
          </w:p>
        </w:tc>
        <w:tc>
          <w:tcPr>
            <w:tcW w:w="650" w:type="dxa"/>
            <w:vAlign w:val="center"/>
          </w:tcPr>
          <w:p>
            <w:pPr>
              <w:shd w:val="clear" w:color="auto"/>
              <w:rPr>
                <w:lang w:eastAsia="ja-JP"/>
              </w:rPr>
            </w:pPr>
            <w:r>
              <w:rPr>
                <w:rFonts w:hint="eastAsia"/>
              </w:rPr>
              <w:t>5.1</w:t>
            </w:r>
          </w:p>
        </w:tc>
        <w:tc>
          <w:tcPr>
            <w:tcW w:w="650" w:type="dxa"/>
            <w:vAlign w:val="center"/>
          </w:tcPr>
          <w:p>
            <w:pPr>
              <w:shd w:val="clear" w:color="auto"/>
              <w:rPr>
                <w:lang w:eastAsia="ja-JP"/>
              </w:rPr>
            </w:pPr>
            <w:r>
              <w:rPr>
                <w:rFonts w:hint="eastAsia"/>
              </w:rPr>
              <w:t>5.2</w:t>
            </w:r>
          </w:p>
        </w:tc>
        <w:tc>
          <w:tcPr>
            <w:tcW w:w="649" w:type="dxa"/>
            <w:vAlign w:val="center"/>
          </w:tcPr>
          <w:p>
            <w:pPr>
              <w:shd w:val="clear" w:color="auto"/>
              <w:rPr>
                <w:lang w:eastAsia="ja-JP"/>
              </w:rPr>
            </w:pPr>
            <w:r>
              <w:rPr>
                <w:rFonts w:hint="eastAsia"/>
              </w:rPr>
              <w:t>5.3</w:t>
            </w:r>
          </w:p>
        </w:tc>
        <w:tc>
          <w:tcPr>
            <w:tcW w:w="650" w:type="dxa"/>
            <w:vAlign w:val="center"/>
          </w:tcPr>
          <w:p>
            <w:pPr>
              <w:shd w:val="clear" w:color="auto"/>
              <w:rPr>
                <w:lang w:eastAsia="ja-JP"/>
              </w:rPr>
            </w:pPr>
            <w:r>
              <w:rPr>
                <w:rFonts w:hint="eastAsia"/>
              </w:rPr>
              <w:t>6.1</w:t>
            </w:r>
          </w:p>
        </w:tc>
        <w:tc>
          <w:tcPr>
            <w:tcW w:w="650" w:type="dxa"/>
            <w:vAlign w:val="center"/>
          </w:tcPr>
          <w:p>
            <w:pPr>
              <w:shd w:val="clear" w:color="auto"/>
              <w:rPr>
                <w:lang w:eastAsia="ja-JP"/>
              </w:rPr>
            </w:pPr>
            <w:r>
              <w:rPr>
                <w:rFonts w:hint="eastAsia"/>
              </w:rPr>
              <w:t>6.2</w:t>
            </w:r>
          </w:p>
        </w:tc>
        <w:tc>
          <w:tcPr>
            <w:tcW w:w="649" w:type="dxa"/>
            <w:vAlign w:val="center"/>
          </w:tcPr>
          <w:p>
            <w:pPr>
              <w:shd w:val="clear" w:color="auto"/>
              <w:rPr>
                <w:lang w:eastAsia="ja-JP"/>
              </w:rPr>
            </w:pPr>
            <w:r>
              <w:rPr>
                <w:rFonts w:hint="eastAsia"/>
              </w:rPr>
              <w:t>6.3</w:t>
            </w: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7.1</w:t>
            </w:r>
          </w:p>
        </w:tc>
        <w:tc>
          <w:tcPr>
            <w:tcW w:w="650" w:type="dxa"/>
            <w:vAlign w:val="center"/>
          </w:tcPr>
          <w:p>
            <w:pPr>
              <w:shd w:val="clear" w:color="auto"/>
              <w:rPr>
                <w:lang w:eastAsia="ja-JP"/>
              </w:rPr>
            </w:pPr>
            <w:r>
              <w:rPr>
                <w:rFonts w:hint="eastAsia"/>
              </w:rPr>
              <w:t>7.2</w:t>
            </w:r>
          </w:p>
        </w:tc>
        <w:tc>
          <w:tcPr>
            <w:tcW w:w="650" w:type="dxa"/>
            <w:vAlign w:val="center"/>
          </w:tcPr>
          <w:p>
            <w:pPr>
              <w:shd w:val="clear" w:color="auto"/>
              <w:rPr>
                <w:lang w:eastAsia="ja-JP"/>
              </w:rPr>
            </w:pPr>
            <w:r>
              <w:rPr>
                <w:rFonts w:hint="eastAsia"/>
              </w:rPr>
              <w:t>7.3</w:t>
            </w:r>
          </w:p>
        </w:tc>
        <w:tc>
          <w:tcPr>
            <w:tcW w:w="649" w:type="dxa"/>
            <w:vAlign w:val="center"/>
          </w:tcPr>
          <w:p>
            <w:pPr>
              <w:shd w:val="clear" w:color="auto"/>
              <w:rPr>
                <w:lang w:eastAsia="ja-JP"/>
              </w:rPr>
            </w:pPr>
            <w:r>
              <w:rPr>
                <w:rFonts w:hint="eastAsia"/>
              </w:rPr>
              <w:t>7.4</w:t>
            </w:r>
          </w:p>
        </w:tc>
        <w:tc>
          <w:tcPr>
            <w:tcW w:w="650" w:type="dxa"/>
            <w:vAlign w:val="center"/>
          </w:tcPr>
          <w:p>
            <w:pPr>
              <w:shd w:val="clear" w:color="auto"/>
              <w:rPr>
                <w:lang w:eastAsia="ja-JP"/>
              </w:rPr>
            </w:pPr>
            <w:r>
              <w:rPr>
                <w:rFonts w:hint="eastAsia"/>
              </w:rPr>
              <w:t>7.5</w:t>
            </w:r>
          </w:p>
        </w:tc>
        <w:tc>
          <w:tcPr>
            <w:tcW w:w="650" w:type="dxa"/>
            <w:vAlign w:val="center"/>
          </w:tcPr>
          <w:p>
            <w:pPr>
              <w:shd w:val="clear" w:color="auto"/>
              <w:rPr>
                <w:lang w:eastAsia="ja-JP"/>
              </w:rPr>
            </w:pPr>
            <w:r>
              <w:rPr>
                <w:rFonts w:hint="eastAsia"/>
              </w:rPr>
              <w:t>8.1</w:t>
            </w:r>
          </w:p>
        </w:tc>
        <w:tc>
          <w:tcPr>
            <w:tcW w:w="649" w:type="dxa"/>
            <w:vAlign w:val="center"/>
          </w:tcPr>
          <w:p>
            <w:pPr>
              <w:shd w:val="clear" w:color="auto"/>
              <w:rPr>
                <w:lang w:eastAsia="ja-JP"/>
              </w:rPr>
            </w:pPr>
            <w:r>
              <w:rPr>
                <w:rFonts w:hint="eastAsia"/>
              </w:rPr>
              <w:t>8.2</w:t>
            </w:r>
          </w:p>
        </w:tc>
        <w:tc>
          <w:tcPr>
            <w:tcW w:w="650" w:type="dxa"/>
            <w:vAlign w:val="center"/>
          </w:tcPr>
          <w:p>
            <w:pPr>
              <w:shd w:val="clear" w:color="auto"/>
              <w:rPr>
                <w:lang w:eastAsia="ja-JP"/>
              </w:rPr>
            </w:pPr>
            <w:r>
              <w:rPr>
                <w:rFonts w:hint="eastAsia"/>
              </w:rPr>
              <w:t>8.3</w:t>
            </w:r>
          </w:p>
        </w:tc>
        <w:tc>
          <w:tcPr>
            <w:tcW w:w="650" w:type="dxa"/>
            <w:vAlign w:val="center"/>
          </w:tcPr>
          <w:p>
            <w:pPr>
              <w:shd w:val="clear" w:color="auto"/>
              <w:rPr>
                <w:lang w:eastAsia="ja-JP"/>
              </w:rPr>
            </w:pPr>
            <w:r>
              <w:rPr>
                <w:rFonts w:hint="eastAsia"/>
              </w:rPr>
              <w:t>8.4</w:t>
            </w:r>
          </w:p>
        </w:tc>
        <w:tc>
          <w:tcPr>
            <w:tcW w:w="649" w:type="dxa"/>
            <w:vAlign w:val="center"/>
          </w:tcPr>
          <w:p>
            <w:pPr>
              <w:shd w:val="clear" w:color="auto"/>
              <w:rPr>
                <w:lang w:eastAsia="ja-JP"/>
              </w:rPr>
            </w:pPr>
            <w:r>
              <w:rPr>
                <w:rFonts w:hint="eastAsia"/>
              </w:rPr>
              <w:t>8.5</w:t>
            </w:r>
          </w:p>
        </w:tc>
        <w:tc>
          <w:tcPr>
            <w:tcW w:w="650" w:type="dxa"/>
            <w:vAlign w:val="center"/>
          </w:tcPr>
          <w:p>
            <w:pPr>
              <w:shd w:val="clear" w:color="auto"/>
              <w:rPr>
                <w:lang w:eastAsia="ja-JP"/>
              </w:rPr>
            </w:pPr>
            <w:r>
              <w:rPr>
                <w:rFonts w:hint="eastAsia"/>
              </w:rPr>
              <w:t>8.6</w:t>
            </w:r>
          </w:p>
        </w:tc>
        <w:tc>
          <w:tcPr>
            <w:tcW w:w="650" w:type="dxa"/>
            <w:vAlign w:val="center"/>
          </w:tcPr>
          <w:p>
            <w:pPr>
              <w:shd w:val="clear" w:color="auto"/>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3</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rFonts w:hint="default" w:eastAsia="宋体"/>
                <w:lang w:val="en-US" w:eastAsia="zh-CN"/>
              </w:rPr>
            </w:pPr>
            <w:r>
              <w:rPr>
                <w:rFonts w:hint="eastAsia"/>
                <w:lang w:val="en-US" w:eastAsia="zh-CN"/>
              </w:rPr>
              <w:t>01</w:t>
            </w:r>
          </w:p>
        </w:tc>
        <w:tc>
          <w:tcPr>
            <w:tcW w:w="649"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9.1</w:t>
            </w:r>
          </w:p>
        </w:tc>
        <w:tc>
          <w:tcPr>
            <w:tcW w:w="650" w:type="dxa"/>
            <w:vAlign w:val="center"/>
          </w:tcPr>
          <w:p>
            <w:pPr>
              <w:shd w:val="clear" w:color="auto"/>
              <w:rPr>
                <w:lang w:eastAsia="ja-JP"/>
              </w:rPr>
            </w:pPr>
            <w:r>
              <w:rPr>
                <w:rFonts w:hint="eastAsia"/>
              </w:rPr>
              <w:t>9.2</w:t>
            </w:r>
          </w:p>
        </w:tc>
        <w:tc>
          <w:tcPr>
            <w:tcW w:w="650" w:type="dxa"/>
            <w:vAlign w:val="center"/>
          </w:tcPr>
          <w:p>
            <w:pPr>
              <w:shd w:val="clear" w:color="auto"/>
              <w:rPr>
                <w:lang w:eastAsia="ja-JP"/>
              </w:rPr>
            </w:pPr>
            <w:r>
              <w:rPr>
                <w:rFonts w:hint="eastAsia"/>
              </w:rPr>
              <w:t>9.3</w:t>
            </w:r>
          </w:p>
        </w:tc>
        <w:tc>
          <w:tcPr>
            <w:tcW w:w="649" w:type="dxa"/>
            <w:vAlign w:val="center"/>
          </w:tcPr>
          <w:p>
            <w:pPr>
              <w:shd w:val="clear" w:color="auto"/>
              <w:rPr>
                <w:lang w:eastAsia="ja-JP"/>
              </w:rPr>
            </w:pPr>
            <w:r>
              <w:rPr>
                <w:rFonts w:hint="eastAsia"/>
              </w:rPr>
              <w:t>10.1</w:t>
            </w:r>
          </w:p>
        </w:tc>
        <w:tc>
          <w:tcPr>
            <w:tcW w:w="650" w:type="dxa"/>
            <w:vAlign w:val="center"/>
          </w:tcPr>
          <w:p>
            <w:pPr>
              <w:shd w:val="clear" w:color="auto"/>
              <w:rPr>
                <w:lang w:eastAsia="ja-JP"/>
              </w:rPr>
            </w:pPr>
            <w:r>
              <w:rPr>
                <w:rFonts w:hint="eastAsia"/>
              </w:rPr>
              <w:t>10.2</w:t>
            </w:r>
          </w:p>
        </w:tc>
        <w:tc>
          <w:tcPr>
            <w:tcW w:w="650" w:type="dxa"/>
            <w:vAlign w:val="center"/>
          </w:tcPr>
          <w:p>
            <w:pPr>
              <w:shd w:val="clear" w:color="auto"/>
              <w:rPr>
                <w:lang w:eastAsia="ja-JP"/>
              </w:rPr>
            </w:pPr>
            <w:r>
              <w:rPr>
                <w:rFonts w:hint="eastAsia"/>
              </w:rPr>
              <w:t>10.3</w:t>
            </w: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rPr>
          <w:shd w:val="clear" w:color="FFFFFF" w:fill="D9D9D9"/>
        </w:rPr>
      </w:pPr>
      <w:r>
        <w:br w:type="page"/>
      </w: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shd w:val="clear" w:color="auto" w:fill="EBF1DE" w:themeFill="accent3" w:themeFillTint="32"/>
          </w:tcPr>
          <w:p>
            <w:pPr>
              <w:shd w:val="clear" w:color="auto"/>
            </w:pPr>
            <w:r>
              <w:rPr>
                <w:rFonts w:hint="eastAsia"/>
              </w:rPr>
              <w:t>审核周期</w:t>
            </w:r>
          </w:p>
        </w:tc>
        <w:tc>
          <w:tcPr>
            <w:tcW w:w="9634" w:type="dxa"/>
            <w:shd w:val="clear" w:color="auto" w:fill="EBF1DE" w:themeFill="accent3" w:themeFillTint="32"/>
          </w:tcPr>
          <w:p>
            <w:pPr>
              <w:shd w:val="clear" w:color="auto"/>
            </w:pPr>
            <w:r>
              <w:rPr>
                <w:rFonts w:hint="eastAsia"/>
              </w:rPr>
              <w:t xml:space="preserve"> </w:t>
            </w:r>
            <w:r>
              <w:rPr>
                <w:rFonts w:hint="eastAsia"/>
                <w:lang w:eastAsia="zh-CN"/>
              </w:rPr>
              <w:t>□</w:t>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shd w:val="clear" w:color="auto" w:fill="EBF1DE" w:themeFill="accent3" w:themeFillTint="32"/>
          </w:tcPr>
          <w:p>
            <w:pPr>
              <w:shd w:val="clear" w:color="auto"/>
            </w:pPr>
            <w:r>
              <w:rPr>
                <w:rFonts w:hint="eastAsia"/>
              </w:rPr>
              <w:t>体系要素</w:t>
            </w:r>
          </w:p>
        </w:tc>
        <w:tc>
          <w:tcPr>
            <w:tcW w:w="9634" w:type="dxa"/>
            <w:shd w:val="clear" w:color="auto" w:fill="EBF1DE" w:themeFill="accent3" w:themeFillTint="32"/>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3" w:hRule="atLeast"/>
        </w:trPr>
        <w:tc>
          <w:tcPr>
            <w:tcW w:w="680" w:type="dxa"/>
            <w:vMerge w:val="restart"/>
            <w:shd w:val="clear" w:color="auto" w:fill="EBF1DE" w:themeFill="accent3" w:themeFillTint="32"/>
          </w:tcPr>
          <w:p>
            <w:pPr>
              <w:shd w:val="clear" w:color="auto"/>
            </w:pPr>
            <w:r>
              <w:rPr>
                <w:rFonts w:hint="eastAsia"/>
              </w:rPr>
              <w:t>组织环境</w:t>
            </w:r>
          </w:p>
        </w:tc>
        <w:tc>
          <w:tcPr>
            <w:tcW w:w="9634" w:type="dxa"/>
            <w:shd w:val="clear" w:color="auto" w:fill="EBF1DE" w:themeFill="accent3" w:themeFillTint="32"/>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color w:val="000000"/>
                      <w:szCs w:val="21"/>
                      <w:lang w:val="en-US" w:eastAsia="zh-CN"/>
                    </w:rPr>
                    <w:t xml:space="preserve">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lang w:eastAsia="zh-CN"/>
                    </w:rPr>
                    <w:sym w:font="Wingdings 2" w:char="0052"/>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lang w:eastAsia="zh-CN"/>
                    </w:rPr>
                    <w:t>□</w:t>
                  </w:r>
                  <w:r>
                    <w:rPr>
                      <w:rFonts w:hint="eastAsia"/>
                    </w:rPr>
                    <w:t>其他</w:t>
                  </w:r>
                </w:p>
              </w:tc>
              <w:tc>
                <w:tcPr>
                  <w:tcW w:w="6912" w:type="dxa"/>
                </w:tcPr>
                <w:p>
                  <w:pPr>
                    <w:shd w:val="clear" w:color="auto"/>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rFonts w:hint="default" w:eastAsia="宋体"/>
                <w:b/>
                <w:bCs/>
                <w:lang w:val="en-US" w:eastAsia="zh-CN"/>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r>
              <w:rPr>
                <w:rFonts w:hint="eastAsia"/>
                <w:b/>
                <w:bCs/>
                <w:lang w:val="en-GB" w:eastAsia="zh-CN"/>
              </w:rPr>
              <w:t>——</w:t>
            </w:r>
            <w:r>
              <w:rPr>
                <w:rFonts w:hint="eastAsia"/>
                <w:b/>
                <w:bCs/>
                <w:lang w:val="en-US" w:eastAsia="zh-CN"/>
              </w:rPr>
              <w:t>审核周期内未发生较大变化</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eastAsia"/>
              </w:rPr>
            </w:pPr>
            <w:r>
              <w:rPr>
                <w:rFonts w:hint="eastAsia"/>
              </w:rPr>
              <w:sym w:font="Wingdings 2" w:char="0052"/>
            </w:r>
            <w:r>
              <w:rPr>
                <w:rFonts w:hint="eastAsia"/>
              </w:rPr>
              <w:t>特种设备管理 ☑控制措施组合确认  ☑PRP和危害控制措施的效果验证  □其他</w:t>
            </w:r>
          </w:p>
          <w:p>
            <w:pPr>
              <w:pStyle w:val="13"/>
              <w:rPr>
                <w:rFonts w:hint="eastAsia"/>
              </w:rPr>
            </w:pP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w:t>
            </w:r>
          </w:p>
          <w:p>
            <w:pPr>
              <w:spacing w:before="40" w:after="40"/>
              <w:jc w:val="left"/>
              <w:rPr>
                <w:rFonts w:hint="default"/>
                <w:lang w:val="en-US" w:eastAsia="zh-CN"/>
              </w:rPr>
            </w:pPr>
            <w:r>
              <w:rPr>
                <w:rFonts w:hint="eastAsia"/>
              </w:rPr>
              <w:t>□设备维修   □人员培训 □PRP和OPRP、HACCP验证</w:t>
            </w:r>
            <w:r>
              <w:rPr>
                <w:rFonts w:hint="eastAsia"/>
                <w:lang w:val="en-US" w:eastAsia="zh-CN"/>
              </w:rPr>
              <w:t xml:space="preserve">  </w:t>
            </w:r>
            <w:r>
              <w:rPr>
                <w:rFonts w:hint="eastAsia"/>
              </w:rPr>
              <w:t>☑其他—</w:t>
            </w:r>
            <w:r>
              <w:rPr>
                <w:rFonts w:hint="eastAsia"/>
                <w:lang w:val="en-US" w:eastAsia="zh-CN"/>
              </w:rPr>
              <w:t>无</w:t>
            </w:r>
          </w:p>
          <w:p>
            <w:pPr>
              <w:spacing w:before="40" w:after="40"/>
            </w:pPr>
            <w:r>
              <w:rPr>
                <w:rFonts w:hint="eastAsia"/>
              </w:rPr>
              <w:t xml:space="preserve"> </w:t>
            </w: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EBF1DE" w:themeFill="accent3" w:themeFillTint="32"/>
          </w:tcPr>
          <w:p>
            <w:pPr>
              <w:shd w:val="clear" w:color="auto"/>
            </w:pPr>
            <w:r>
              <w:rPr>
                <w:rFonts w:hint="eastAsia"/>
              </w:rPr>
              <w:t>领导作用</w:t>
            </w:r>
          </w:p>
        </w:tc>
        <w:tc>
          <w:tcPr>
            <w:tcW w:w="9634" w:type="dxa"/>
            <w:shd w:val="clear" w:color="auto" w:fill="EBF1DE" w:themeFill="accent3" w:themeFillTint="32"/>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rFonts w:hint="default" w:eastAsia="宋体"/>
                <w:lang w:val="en-US" w:eastAsia="zh-CN"/>
              </w:rPr>
            </w:pPr>
            <w:r>
              <w:rPr>
                <w:rFonts w:hint="eastAsia"/>
              </w:rPr>
              <w:t>最高管理者制定了文件化的食品安全管理体系方针：</w:t>
            </w:r>
            <w:r>
              <w:rPr>
                <w:rFonts w:hint="eastAsia"/>
                <w:lang w:eastAsia="zh-CN"/>
              </w:rPr>
              <w:t>——</w:t>
            </w:r>
            <w:r>
              <w:rPr>
                <w:rFonts w:hint="eastAsia"/>
                <w:lang w:val="en-US" w:eastAsia="zh-CN"/>
              </w:rPr>
              <w:t>审核周期内未发生</w:t>
            </w:r>
          </w:p>
          <w:p>
            <w:pPr>
              <w:rPr>
                <w:rFonts w:hint="eastAsia"/>
              </w:rPr>
            </w:pPr>
            <w:r>
              <w:rPr>
                <w:rFonts w:hint="eastAsia"/>
                <w:b/>
                <w:bCs/>
                <w:u w:val="single"/>
              </w:rPr>
              <w:t xml:space="preserve">关爱人类、牢固树立食品安全第一的观念。精益求精、高端品质，遵守法规、服务客户、诚信双赢；做到进厂生猪只只检疫、出厂肉品头头检验。让市民吃上放心肉。    </w:t>
            </w:r>
            <w:r>
              <w:rPr>
                <w:rFonts w:hint="eastAsia"/>
              </w:rPr>
              <w:t xml:space="preserve"> </w:t>
            </w:r>
          </w:p>
          <w:p>
            <w:pPr>
              <w:shd w:val="clear" w:color="auto"/>
              <w:rPr>
                <w:rFonts w:hint="eastAsia"/>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最高管理者确定了组织架构及相关岗位的职责、权限，并进行了全员的沟通和理解；</w:t>
            </w:r>
          </w:p>
          <w:p>
            <w:pPr>
              <w:shd w:val="clear" w:color="auto"/>
            </w:pPr>
            <w:r>
              <w:rPr>
                <w:rFonts w:hint="eastAsia"/>
              </w:rPr>
              <w:t>FSMS的主管部门是——</w:t>
            </w:r>
            <w:r>
              <w:rPr>
                <w:rFonts w:hint="eastAsia"/>
                <w:color w:val="0000FF"/>
              </w:rPr>
              <w:t>食</w:t>
            </w:r>
            <w:r>
              <w:rPr>
                <w:color w:val="0000FF"/>
              </w:rP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rFonts w:hint="eastAsia"/>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周德强 </w:t>
            </w:r>
            <w:r>
              <w:rPr>
                <w:rFonts w:hint="eastAsia"/>
                <w:u w:val="single"/>
              </w:rPr>
              <w:t xml:space="preserve">     </w:t>
            </w:r>
            <w:r>
              <w:rPr>
                <w:rFonts w:hint="eastAsia"/>
                <w:lang w:eastAsia="zh-CN"/>
              </w:rPr>
              <w:sym w:font="Wingdings 2" w:char="0052"/>
            </w:r>
            <w:r>
              <w:rPr>
                <w:rFonts w:hint="eastAsia"/>
              </w:rPr>
              <w:t>先生/</w:t>
            </w:r>
            <w:r>
              <w:rPr>
                <w:rFonts w:hint="eastAsia"/>
              </w:rPr>
              <w:sym w:font="Wingdings" w:char="00A8"/>
            </w:r>
            <w:r>
              <w:rPr>
                <w:rFonts w:hint="eastAsia"/>
              </w:rPr>
              <w:t>女士；</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EBF1DE" w:themeFill="accent3" w:themeFillTint="32"/>
          </w:tcPr>
          <w:p>
            <w:pPr>
              <w:shd w:val="clear" w:color="auto"/>
            </w:pPr>
            <w:r>
              <w:rPr>
                <w:rFonts w:hint="eastAsia"/>
              </w:rPr>
              <w:t>策划</w:t>
            </w:r>
          </w:p>
        </w:tc>
        <w:tc>
          <w:tcPr>
            <w:tcW w:w="9634" w:type="dxa"/>
            <w:shd w:val="clear" w:color="auto" w:fill="EBF1DE" w:themeFill="accent3" w:themeFillTint="32"/>
          </w:tcPr>
          <w:p>
            <w:pPr>
              <w:shd w:val="clear" w:color="auto"/>
            </w:pPr>
            <w:r>
              <w:rPr>
                <w:rFonts w:hint="eastAsia"/>
              </w:rPr>
              <w:t>在策划管理体系时，组织确定了需要应对的风险和机遇及应对这些风险和机遇的措施；</w:t>
            </w:r>
          </w:p>
          <w:tbl>
            <w:tblPr>
              <w:tblStyle w:val="10"/>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35"/>
              <w:gridCol w:w="417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tcPr>
                <w:p>
                  <w:pPr>
                    <w:shd w:val="clear"/>
                  </w:pPr>
                  <w:r>
                    <w:rPr>
                      <w:rFonts w:hint="eastAsia"/>
                    </w:rPr>
                    <w:t>主要的风险描述</w:t>
                  </w:r>
                </w:p>
              </w:tc>
              <w:tc>
                <w:tcPr>
                  <w:tcW w:w="4170" w:type="dxa"/>
                  <w:shd w:val="clear" w:color="auto" w:fill="auto"/>
                </w:tcPr>
                <w:p>
                  <w:pPr>
                    <w:shd w:val="clear"/>
                  </w:pPr>
                  <w:r>
                    <w:rPr>
                      <w:rFonts w:hint="eastAsia"/>
                    </w:rPr>
                    <w:t>应对措施</w:t>
                  </w:r>
                </w:p>
              </w:tc>
              <w:tc>
                <w:tcPr>
                  <w:tcW w:w="1717" w:type="dxa"/>
                  <w:shd w:val="clear" w:color="auto" w:fill="auto"/>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shd w:val="clear" w:color="auto" w:fill="auto"/>
                  <w:vAlign w:val="center"/>
                </w:tcPr>
                <w:p>
                  <w:pPr>
                    <w:widowControl/>
                    <w:spacing w:line="360" w:lineRule="exact"/>
                    <w:jc w:val="left"/>
                    <w:textAlignment w:val="center"/>
                    <w:rPr>
                      <w:rFonts w:hint="default" w:ascii="宋体" w:hAnsi="宋体" w:eastAsia="宋体" w:cs="宋体"/>
                      <w:color w:val="000000"/>
                      <w:kern w:val="0"/>
                      <w:sz w:val="21"/>
                      <w:szCs w:val="21"/>
                      <w:highlight w:val="yellow"/>
                      <w:lang w:val="en-US" w:eastAsia="zh-CN" w:bidi="ar"/>
                    </w:rPr>
                  </w:pPr>
                  <w:r>
                    <w:rPr>
                      <w:rFonts w:hint="eastAsia"/>
                      <w:lang w:val="en-US" w:eastAsia="zh-CN"/>
                    </w:rPr>
                    <w:t>污水处理不达标受监管部门处罚风险</w:t>
                  </w:r>
                </w:p>
              </w:tc>
              <w:tc>
                <w:tcPr>
                  <w:tcW w:w="4170" w:type="dxa"/>
                  <w:shd w:val="clear" w:color="auto" w:fill="auto"/>
                  <w:vAlign w:val="top"/>
                </w:tcPr>
                <w:p>
                  <w:pPr>
                    <w:pStyle w:val="13"/>
                    <w:numPr>
                      <w:ilvl w:val="0"/>
                      <w:numId w:val="0"/>
                    </w:numPr>
                    <w:ind w:left="0" w:leftChars="0" w:firstLine="0" w:firstLineChars="0"/>
                    <w:rPr>
                      <w:rFonts w:hint="eastAsia" w:ascii="Times New Roman" w:hAnsi="Times New Roman" w:eastAsia="宋体" w:cs="Times New Roman"/>
                      <w:bCs/>
                      <w:spacing w:val="10"/>
                      <w:kern w:val="2"/>
                      <w:sz w:val="21"/>
                      <w:szCs w:val="24"/>
                      <w:lang w:val="en-US" w:eastAsia="zh-CN" w:bidi="ar-SA"/>
                    </w:rPr>
                  </w:pPr>
                  <w:r>
                    <w:rPr>
                      <w:rFonts w:hint="eastAsia"/>
                      <w:lang w:val="en-US" w:eastAsia="zh-CN"/>
                    </w:rPr>
                    <w:t>投入污水处理设备，实施在线监测</w:t>
                  </w:r>
                </w:p>
              </w:tc>
              <w:tc>
                <w:tcPr>
                  <w:tcW w:w="1717"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屠宰猪疫病风险</w:t>
                  </w:r>
                </w:p>
              </w:tc>
              <w:tc>
                <w:tcPr>
                  <w:tcW w:w="4170" w:type="dxa"/>
                  <w:shd w:val="clear" w:color="auto" w:fill="auto"/>
                  <w:vAlign w:val="top"/>
                </w:tcPr>
                <w:p>
                  <w:pPr>
                    <w:rPr>
                      <w:rFonts w:hint="eastAsia"/>
                      <w:lang w:val="en-US" w:eastAsia="zh-CN"/>
                    </w:rPr>
                  </w:pPr>
                  <w:r>
                    <w:rPr>
                      <w:rFonts w:hint="eastAsia"/>
                      <w:lang w:val="en-US" w:eastAsia="zh-CN"/>
                    </w:rPr>
                    <w:t>猪入厂进行批检验；</w:t>
                  </w:r>
                </w:p>
                <w:p>
                  <w:pPr>
                    <w:pStyle w:val="2"/>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21"/>
                      <w:szCs w:val="20"/>
                      <w:lang w:val="en-US" w:eastAsia="zh-CN" w:bidi="ar-SA"/>
                    </w:rPr>
                    <w:t>从合格供方检验；</w:t>
                  </w:r>
                </w:p>
              </w:tc>
              <w:tc>
                <w:tcPr>
                  <w:tcW w:w="1717" w:type="dxa"/>
                  <w:shd w:val="clear" w:color="auto" w:fill="auto"/>
                  <w:vAlign w:val="top"/>
                </w:tcPr>
                <w:p>
                  <w:pPr>
                    <w:rPr>
                      <w:rFonts w:ascii="Times New Roman" w:hAnsi="Times New Roman" w:eastAsia="宋体" w:cs="Times New Roman"/>
                      <w:kern w:val="2"/>
                      <w:sz w:val="21"/>
                      <w:szCs w:val="24"/>
                      <w:highlight w:val="yellow"/>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shd w:val="clear" w:color="auto" w:fill="auto"/>
                  <w:vAlign w:val="center"/>
                </w:tcPr>
                <w:p>
                  <w:pPr>
                    <w:widowControl/>
                    <w:shd w:val="clear"/>
                    <w:jc w:val="left"/>
                    <w:textAlignment w:val="center"/>
                  </w:pPr>
                </w:p>
              </w:tc>
              <w:tc>
                <w:tcPr>
                  <w:tcW w:w="4170" w:type="dxa"/>
                  <w:shd w:val="clear" w:color="auto" w:fill="auto"/>
                  <w:vAlign w:val="center"/>
                </w:tcPr>
                <w:p>
                  <w:pPr>
                    <w:widowControl/>
                    <w:shd w:val="clear"/>
                    <w:jc w:val="left"/>
                    <w:textAlignment w:val="center"/>
                  </w:pPr>
                </w:p>
              </w:tc>
              <w:tc>
                <w:tcPr>
                  <w:tcW w:w="1717" w:type="dxa"/>
                  <w:shd w:val="clear" w:color="auto" w:fill="auto"/>
                </w:tcPr>
                <w:p>
                  <w:pPr>
                    <w:shd w:val="clear"/>
                  </w:pPr>
                </w:p>
              </w:tc>
            </w:tr>
          </w:tbl>
          <w:p>
            <w:pPr>
              <w:shd w:val="clear" w:color="auto"/>
            </w:pPr>
          </w:p>
          <w:p>
            <w:pPr>
              <w:shd w:val="clear" w:color="auto"/>
            </w:pPr>
          </w:p>
          <w:tbl>
            <w:tblPr>
              <w:tblStyle w:val="10"/>
              <w:tblpPr w:leftFromText="180" w:rightFromText="180" w:vertAnchor="text" w:horzAnchor="page" w:tblpX="167" w:tblpY="24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45"/>
              <w:gridCol w:w="376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tcPr>
                <w:p>
                  <w:pPr>
                    <w:shd w:val="clear"/>
                  </w:pPr>
                  <w:r>
                    <w:rPr>
                      <w:rFonts w:hint="eastAsia"/>
                    </w:rPr>
                    <w:t>主要的机遇描述</w:t>
                  </w:r>
                </w:p>
              </w:tc>
              <w:tc>
                <w:tcPr>
                  <w:tcW w:w="3760" w:type="dxa"/>
                  <w:shd w:val="clear" w:color="auto" w:fill="auto"/>
                </w:tcPr>
                <w:p>
                  <w:pPr>
                    <w:shd w:val="clear"/>
                  </w:pPr>
                  <w:r>
                    <w:rPr>
                      <w:rFonts w:hint="eastAsia"/>
                    </w:rPr>
                    <w:t>应对措施</w:t>
                  </w:r>
                </w:p>
              </w:tc>
              <w:tc>
                <w:tcPr>
                  <w:tcW w:w="1717" w:type="dxa"/>
                  <w:shd w:val="clear" w:color="auto" w:fill="auto"/>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官方兽医管控，病死猪不会上市，管控严格，市场认可度高</w:t>
                  </w:r>
                </w:p>
              </w:tc>
              <w:tc>
                <w:tcPr>
                  <w:tcW w:w="3760" w:type="dxa"/>
                  <w:shd w:val="clear" w:color="auto" w:fill="auto"/>
                  <w:vAlign w:val="top"/>
                </w:tcPr>
                <w:p>
                  <w:pPr>
                    <w:numPr>
                      <w:ilvl w:val="0"/>
                      <w:numId w:val="0"/>
                    </w:numPr>
                    <w:rPr>
                      <w:rFonts w:hint="default"/>
                      <w:highlight w:val="none"/>
                      <w:lang w:val="en-US"/>
                    </w:rPr>
                  </w:pPr>
                  <w:r>
                    <w:rPr>
                      <w:rFonts w:hint="eastAsia"/>
                      <w:highlight w:val="none"/>
                      <w:lang w:val="en-US" w:eastAsia="zh-CN"/>
                    </w:rPr>
                    <w:t>系统管理；</w:t>
                  </w:r>
                </w:p>
                <w:p>
                  <w:pPr>
                    <w:pStyle w:val="8"/>
                    <w:tabs>
                      <w:tab w:val="clear" w:pos="1560"/>
                      <w:tab w:val="clear" w:pos="1985"/>
                    </w:tabs>
                    <w:ind w:left="0" w:leftChars="0" w:firstLine="0" w:firstLineChars="0"/>
                    <w:jc w:val="left"/>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严格按照动物卫生监督所、农业执法大队的、体系管理的要求严格进行管理</w:t>
                  </w:r>
                </w:p>
              </w:tc>
              <w:tc>
                <w:tcPr>
                  <w:tcW w:w="1717"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tcPr>
                <w:p>
                  <w:pPr>
                    <w:shd w:val="clear"/>
                  </w:pPr>
                </w:p>
              </w:tc>
              <w:tc>
                <w:tcPr>
                  <w:tcW w:w="3760" w:type="dxa"/>
                  <w:shd w:val="clear" w:color="auto" w:fill="auto"/>
                </w:tcPr>
                <w:p>
                  <w:pPr>
                    <w:shd w:val="clear"/>
                  </w:pPr>
                </w:p>
              </w:tc>
              <w:tc>
                <w:tcPr>
                  <w:tcW w:w="1717" w:type="dxa"/>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tcPr>
                <w:p>
                  <w:pPr>
                    <w:shd w:val="clear"/>
                  </w:pPr>
                </w:p>
              </w:tc>
              <w:tc>
                <w:tcPr>
                  <w:tcW w:w="3760" w:type="dxa"/>
                  <w:shd w:val="clear" w:color="auto" w:fill="auto"/>
                </w:tcPr>
                <w:p>
                  <w:pPr>
                    <w:shd w:val="clear"/>
                  </w:pPr>
                </w:p>
              </w:tc>
              <w:tc>
                <w:tcPr>
                  <w:tcW w:w="1717" w:type="dxa"/>
                  <w:shd w:val="clear" w:color="auto" w:fill="auto"/>
                </w:tcPr>
                <w:p>
                  <w:pPr>
                    <w:shd w:val="clear"/>
                  </w:pPr>
                </w:p>
              </w:tc>
            </w:tr>
          </w:tbl>
          <w:p>
            <w:pPr>
              <w:shd w:val="clear" w:color="auto"/>
            </w:pPr>
          </w:p>
          <w:p>
            <w:pPr>
              <w:shd w:val="clear" w:color="auto"/>
            </w:pPr>
          </w:p>
          <w:p>
            <w:pPr>
              <w:shd w:val="clear" w:color="auto"/>
            </w:pPr>
          </w:p>
          <w:p>
            <w:pPr>
              <w:shd w:val="clear" w:color="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tbl>
            <w:tblPr>
              <w:tblStyle w:val="9"/>
              <w:tblW w:w="8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2566"/>
              <w:gridCol w:w="1027"/>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宋体" w:hAnsi="宋体" w:eastAsia="宋体" w:cs="Times New Roman"/>
                      <w:kern w:val="2"/>
                      <w:sz w:val="21"/>
                      <w:szCs w:val="21"/>
                      <w:lang w:val="en-US" w:eastAsia="zh-CN" w:bidi="ar-SA"/>
                    </w:rPr>
                  </w:pPr>
                  <w:r>
                    <w:rPr>
                      <w:rFonts w:hint="eastAsia" w:ascii="宋体" w:hAnsi="宋体"/>
                      <w:szCs w:val="21"/>
                    </w:rPr>
                    <w:t>食品安全目标</w:t>
                  </w:r>
                </w:p>
              </w:tc>
              <w:tc>
                <w:tcPr>
                  <w:tcW w:w="2566" w:type="dxa"/>
                  <w:shd w:val="clear" w:color="auto" w:fill="auto"/>
                  <w:vAlign w:val="top"/>
                </w:tcPr>
                <w:p>
                  <w:pPr>
                    <w:rPr>
                      <w:rFonts w:ascii="宋体" w:hAnsi="宋体" w:eastAsia="宋体" w:cs="Times New Roman"/>
                      <w:kern w:val="2"/>
                      <w:sz w:val="21"/>
                      <w:szCs w:val="21"/>
                      <w:lang w:val="en-US" w:eastAsia="zh-CN" w:bidi="ar-SA"/>
                    </w:rPr>
                  </w:pPr>
                  <w:r>
                    <w:rPr>
                      <w:rFonts w:hint="eastAsia" w:ascii="宋体" w:hAnsi="宋体"/>
                      <w:szCs w:val="21"/>
                    </w:rPr>
                    <w:t>计算方法</w:t>
                  </w:r>
                </w:p>
              </w:tc>
              <w:tc>
                <w:tcPr>
                  <w:tcW w:w="1027" w:type="dxa"/>
                  <w:shd w:val="clear" w:color="auto" w:fill="auto"/>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责任部门</w:t>
                  </w:r>
                </w:p>
              </w:tc>
              <w:tc>
                <w:tcPr>
                  <w:tcW w:w="2986" w:type="dxa"/>
                  <w:shd w:val="clear" w:color="auto" w:fill="auto"/>
                  <w:vAlign w:val="top"/>
                </w:tcPr>
                <w:p>
                  <w:pPr>
                    <w:rPr>
                      <w:rFonts w:ascii="宋体" w:hAnsi="宋体"/>
                      <w:szCs w:val="21"/>
                      <w:highlight w:val="none"/>
                    </w:rPr>
                  </w:pPr>
                  <w:r>
                    <w:rPr>
                      <w:rFonts w:hint="eastAsia" w:ascii="宋体" w:hAnsi="宋体"/>
                      <w:szCs w:val="21"/>
                      <w:highlight w:val="none"/>
                    </w:rPr>
                    <w:t>目标实际完成</w:t>
                  </w:r>
                </w:p>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val="en-US" w:eastAsia="zh-CN"/>
                    </w:rPr>
                    <w:t>2022年第一季度~第三季度</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生猪进厂检疫率100%</w:t>
                  </w:r>
                </w:p>
              </w:tc>
              <w:tc>
                <w:tcPr>
                  <w:tcW w:w="256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生猪进厂检疫数/生猪进厂检疫总数X100%</w:t>
                  </w:r>
                </w:p>
              </w:tc>
              <w:tc>
                <w:tcPr>
                  <w:tcW w:w="1027"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检验室</w:t>
                  </w:r>
                </w:p>
              </w:tc>
              <w:tc>
                <w:tcPr>
                  <w:tcW w:w="2986" w:type="dxa"/>
                  <w:shd w:val="clear" w:color="auto" w:fill="auto"/>
                  <w:vAlign w:val="top"/>
                </w:tcPr>
                <w:p>
                  <w:pPr>
                    <w:jc w:val="center"/>
                    <w:rPr>
                      <w:rFonts w:hint="default" w:ascii="Times New Roman" w:hAnsi="Times New Roman" w:eastAsia="宋体" w:cs="Times New Roman"/>
                      <w:kern w:val="2"/>
                      <w:sz w:val="21"/>
                      <w:szCs w:val="21"/>
                      <w:lang w:val="en-US"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肉品出厂检验率100%</w:t>
                  </w:r>
                </w:p>
              </w:tc>
              <w:tc>
                <w:tcPr>
                  <w:tcW w:w="256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肉品出厂检验数/肉品出厂检验总数X100%</w:t>
                  </w:r>
                </w:p>
              </w:tc>
              <w:tc>
                <w:tcPr>
                  <w:tcW w:w="1027"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检验室</w:t>
                  </w:r>
                </w:p>
              </w:tc>
              <w:tc>
                <w:tcPr>
                  <w:tcW w:w="2986" w:type="dxa"/>
                  <w:shd w:val="clear" w:color="auto" w:fill="auto"/>
                  <w:vAlign w:val="top"/>
                </w:tcPr>
                <w:p>
                  <w:pPr>
                    <w:jc w:val="center"/>
                    <w:rPr>
                      <w:rFonts w:hint="default" w:ascii="Times New Roman" w:hAnsi="Times New Roman" w:eastAsia="宋体" w:cs="Times New Roman"/>
                      <w:kern w:val="2"/>
                      <w:sz w:val="21"/>
                      <w:szCs w:val="21"/>
                      <w:lang w:val="en-US"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病害畜禽及产品无害化处理率100%</w:t>
                  </w:r>
                </w:p>
              </w:tc>
              <w:tc>
                <w:tcPr>
                  <w:tcW w:w="256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病害畜禽及产品无害化</w:t>
                  </w:r>
                  <w:r>
                    <w:rPr>
                      <w:rFonts w:hint="eastAsia"/>
                      <w:color w:val="000000"/>
                      <w:szCs w:val="18"/>
                      <w:highlight w:val="none"/>
                      <w:lang w:val="en-US" w:eastAsia="zh-CN"/>
                    </w:rPr>
                    <w:t>已</w:t>
                  </w:r>
                  <w:r>
                    <w:rPr>
                      <w:rFonts w:hint="eastAsia"/>
                      <w:color w:val="000000"/>
                      <w:szCs w:val="18"/>
                      <w:highlight w:val="none"/>
                      <w:lang w:val="en-US"/>
                    </w:rPr>
                    <w:t>处理</w:t>
                  </w:r>
                  <w:r>
                    <w:rPr>
                      <w:rFonts w:hint="eastAsia"/>
                      <w:color w:val="000000"/>
                      <w:szCs w:val="18"/>
                      <w:highlight w:val="none"/>
                      <w:lang w:val="en-US" w:eastAsia="zh-CN"/>
                    </w:rPr>
                    <w:t>数/</w:t>
                  </w:r>
                  <w:r>
                    <w:rPr>
                      <w:rFonts w:hint="eastAsia"/>
                      <w:color w:val="000000"/>
                      <w:szCs w:val="18"/>
                      <w:highlight w:val="none"/>
                      <w:lang w:val="en-US"/>
                    </w:rPr>
                    <w:t>病害畜禽及产品无害化处理</w:t>
                  </w:r>
                  <w:r>
                    <w:rPr>
                      <w:rFonts w:hint="eastAsia"/>
                      <w:color w:val="000000"/>
                      <w:szCs w:val="18"/>
                      <w:highlight w:val="none"/>
                      <w:lang w:val="en-US" w:eastAsia="zh-CN"/>
                    </w:rPr>
                    <w:t>总数X100%</w:t>
                  </w:r>
                </w:p>
              </w:tc>
              <w:tc>
                <w:tcPr>
                  <w:tcW w:w="1027"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加工厂</w:t>
                  </w:r>
                </w:p>
              </w:tc>
              <w:tc>
                <w:tcPr>
                  <w:tcW w:w="2986" w:type="dxa"/>
                  <w:shd w:val="clear" w:color="auto" w:fill="auto"/>
                  <w:vAlign w:val="top"/>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顾客满意率</w:t>
                  </w:r>
                  <w:r>
                    <w:rPr>
                      <w:rFonts w:hint="eastAsia"/>
                      <w:color w:val="000000"/>
                      <w:szCs w:val="18"/>
                      <w:highlight w:val="none"/>
                      <w:lang w:val="en-US" w:eastAsia="zh-CN"/>
                    </w:rPr>
                    <w:t>≥</w:t>
                  </w:r>
                  <w:r>
                    <w:rPr>
                      <w:rFonts w:hint="eastAsia"/>
                      <w:color w:val="000000"/>
                      <w:szCs w:val="18"/>
                      <w:highlight w:val="none"/>
                      <w:lang w:val="en-US"/>
                    </w:rPr>
                    <w:t>90%</w:t>
                  </w:r>
                </w:p>
              </w:tc>
              <w:tc>
                <w:tcPr>
                  <w:tcW w:w="256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顾客满意度调查</w:t>
                  </w:r>
                </w:p>
              </w:tc>
              <w:tc>
                <w:tcPr>
                  <w:tcW w:w="102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加工厂</w:t>
                  </w:r>
                </w:p>
              </w:tc>
              <w:tc>
                <w:tcPr>
                  <w:tcW w:w="2986" w:type="dxa"/>
                  <w:shd w:val="clear" w:color="auto" w:fill="auto"/>
                  <w:vAlign w:val="top"/>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完成96.5%</w:t>
                  </w:r>
                </w:p>
              </w:tc>
            </w:tr>
          </w:tbl>
          <w:p>
            <w:pPr>
              <w:pStyle w:val="13"/>
              <w:rPr>
                <w:rFonts w:hint="eastAsia"/>
              </w:rPr>
            </w:pPr>
          </w:p>
          <w:p>
            <w:pPr>
              <w:pStyle w:val="13"/>
              <w:rPr>
                <w:rFonts w:hint="default" w:eastAsia="宋体"/>
                <w:lang w:val="en-US" w:eastAsia="zh-CN"/>
              </w:rPr>
            </w:pPr>
            <w:r>
              <w:rPr>
                <w:rFonts w:hint="eastAsia"/>
                <w:lang w:val="en-US" w:eastAsia="zh-CN"/>
              </w:rPr>
              <w:t>2021年度公司目标已完成</w:t>
            </w:r>
          </w:p>
          <w:p>
            <w:pPr>
              <w:shd w:val="clear" w:color="auto"/>
            </w:pPr>
            <w:r>
              <w:rPr>
                <w:rFonts w:hint="eastAsia"/>
              </w:rPr>
              <w:t>☑目标已实现</w:t>
            </w:r>
          </w:p>
          <w:p>
            <w:pPr>
              <w:shd w:val="clear" w:color="auto"/>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组织对相关管理体系进行变更时，变更应按所策划的方式实施；审核周期内的重大变更有：</w:t>
            </w:r>
          </w:p>
          <w:p>
            <w:pPr>
              <w:shd w:val="clear" w:color="auto"/>
              <w:spacing w:before="40" w:after="40"/>
            </w:pPr>
            <w:r>
              <w:rPr>
                <w:rFonts w:hint="eastAsia"/>
              </w:rPr>
              <w:t xml:space="preserve">☑无变更  □组织结构变更 □部门职责变更 □主要原材料 □关键人员 </w:t>
            </w:r>
          </w:p>
          <w:p>
            <w:pPr>
              <w:shd w:val="clear" w:color="auto"/>
              <w:spacing w:before="40" w:after="40"/>
            </w:pPr>
            <w:r>
              <w:rPr>
                <w:rFonts w:hint="eastAsia"/>
              </w:rPr>
              <w:t>□生产工艺/服务流程 □主要设备设施 □主要检测设备 □其他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restart"/>
            <w:shd w:val="clear" w:color="auto" w:fill="EBF1DE" w:themeFill="accent3" w:themeFillTint="32"/>
          </w:tcPr>
          <w:p>
            <w:pPr>
              <w:shd w:val="clear" w:color="auto"/>
            </w:pPr>
            <w:r>
              <w:rPr>
                <w:rFonts w:hint="eastAsia"/>
              </w:rPr>
              <w:t>支持</w:t>
            </w:r>
          </w:p>
        </w:tc>
        <w:tc>
          <w:tcPr>
            <w:tcW w:w="9634" w:type="dxa"/>
            <w:shd w:val="clear" w:color="auto" w:fill="EBF1DE" w:themeFill="accent3" w:themeFillTint="32"/>
          </w:tcPr>
          <w:p>
            <w:pPr>
              <w:shd w:val="clear" w:color="auto"/>
            </w:pPr>
            <w:r>
              <w:rPr>
                <w:rFonts w:hint="eastAsia"/>
              </w:rPr>
              <w:t>组织的资源状况：</w:t>
            </w:r>
          </w:p>
          <w:p>
            <w:pPr>
              <w:shd w:val="clear" w:color="auto"/>
            </w:pP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rFonts w:hint="eastAsia" w:eastAsia="宋体"/>
                <w:lang w:eastAsia="zh-CN"/>
              </w:rPr>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t>外部专家能力、责任和权限的协议或合同的证据，</w:t>
            </w:r>
            <w:r>
              <w:rPr>
                <w:rFonts w:hint="eastAsia"/>
              </w:rPr>
              <w:sym w:font="Wingdings" w:char="00A8"/>
            </w:r>
            <w:r>
              <w:rPr>
                <w:rFonts w:hint="eastAsia"/>
              </w:rPr>
              <w:t xml:space="preserve">已保留 </w:t>
            </w:r>
            <w:r>
              <w:rPr>
                <w:rFonts w:hint="eastAsia"/>
              </w:rPr>
              <w:sym w:font="Wingdings" w:char="00A8"/>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jc w:val="left"/>
              <w:rPr>
                <w:rFonts w:hint="eastAsia"/>
                <w:highlight w:val="none"/>
              </w:rPr>
            </w:pPr>
            <w:r>
              <w:rPr>
                <w:rFonts w:hint="eastAsia"/>
                <w:highlight w:val="none"/>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highlight w:val="none"/>
                <w:u w:val="single"/>
              </w:rPr>
              <w:t>1</w:t>
            </w:r>
            <w:r>
              <w:rPr>
                <w:rFonts w:hint="eastAsia"/>
                <w:highlight w:val="none"/>
                <w:u w:val="single"/>
                <w:lang w:val="en-US" w:eastAsia="zh-CN"/>
              </w:rPr>
              <w:t>7</w:t>
            </w:r>
            <w:r>
              <w:rPr>
                <w:highlight w:val="none"/>
                <w:u w:val="single"/>
              </w:rPr>
              <w:t>500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1 </w:t>
            </w:r>
            <w:r>
              <w:rPr>
                <w:rFonts w:hint="eastAsia"/>
                <w:highlight w:val="none"/>
              </w:rPr>
              <w:t>个；</w:t>
            </w:r>
            <w:r>
              <w:rPr>
                <w:rFonts w:hint="eastAsia"/>
                <w:highlight w:val="none"/>
                <w:lang w:val="en-US" w:eastAsia="zh-CN"/>
              </w:rPr>
              <w:t>检验室</w:t>
            </w:r>
            <w:r>
              <w:rPr>
                <w:rFonts w:hint="eastAsia"/>
                <w:highlight w:val="none"/>
                <w:u w:val="single"/>
                <w:lang w:val="en-US" w:eastAsia="zh-CN"/>
              </w:rPr>
              <w:t xml:space="preserve">  1 </w:t>
            </w:r>
            <w:r>
              <w:rPr>
                <w:rFonts w:hint="eastAsia"/>
                <w:highlight w:val="none"/>
              </w:rPr>
              <w:t>个；库房</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 xml:space="preserve"> 托胸活挂输送机、不锈钢沥血槽、猪体清洗机、刮毛机、双轨提升机、爬坡机、扣脚提升机、桥式劈半锯、双轨三项道岔、污水在线监测系统     等</w:t>
            </w:r>
            <w:r>
              <w:rPr>
                <w:rFonts w:hint="eastAsia"/>
                <w:highlight w:val="none"/>
                <w:u w:val="single"/>
              </w:rPr>
              <w:t xml:space="preserve"> </w:t>
            </w:r>
            <w:r>
              <w:rPr>
                <w:highlight w:val="none"/>
                <w:u w:val="single"/>
              </w:rPr>
              <w:t xml:space="preserve"> </w:t>
            </w:r>
            <w:r>
              <w:rPr>
                <w:rFonts w:hint="eastAsia"/>
                <w:highlight w:val="none"/>
                <w:u w:val="single"/>
              </w:rPr>
              <w:t>（列举2~4种）</w:t>
            </w:r>
          </w:p>
          <w:p>
            <w:pPr>
              <w:keepNext w:val="0"/>
              <w:keepLines w:val="0"/>
              <w:widowControl w:val="0"/>
              <w:numPr>
                <w:ilvl w:val="0"/>
                <w:numId w:val="0"/>
              </w:numPr>
              <w:suppressLineNumbers w:val="0"/>
              <w:shd w:val="clear"/>
              <w:spacing w:before="0" w:beforeAutospacing="0" w:after="0" w:afterAutospacing="0"/>
              <w:ind w:left="0" w:right="0"/>
              <w:jc w:val="both"/>
              <w:rPr>
                <w:rFonts w:hint="eastAsia"/>
                <w:u w:val="single"/>
                <w:vertAlign w:val="baseline"/>
                <w:lang w:val="en-US" w:eastAsia="zh-CN"/>
              </w:rPr>
            </w:pPr>
            <w:r>
              <w:rPr>
                <w:rFonts w:hint="eastAsia"/>
                <w:u w:val="single"/>
                <w:vertAlign w:val="baseline"/>
                <w:lang w:val="en-US" w:eastAsia="zh-CN"/>
              </w:rPr>
              <w:t>——审核周期内增加了污水处理工程、污水在线监测系统</w:t>
            </w:r>
          </w:p>
          <w:p>
            <w:pPr>
              <w:pStyle w:val="13"/>
              <w:rPr>
                <w:rFonts w:hint="eastAsia"/>
                <w:u w:val="single"/>
              </w:rPr>
            </w:pPr>
          </w:p>
          <w:p>
            <w:pPr>
              <w:pStyle w:val="13"/>
              <w:rPr>
                <w:rFonts w:hint="eastAsia"/>
                <w:u w:val="single"/>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FE"/>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pStyle w:val="8"/>
              <w:keepNext w:val="0"/>
              <w:keepLines w:val="0"/>
              <w:pageBreakBefore w:val="0"/>
              <w:widowControl w:val="0"/>
              <w:tabs>
                <w:tab w:val="clear" w:pos="1560"/>
                <w:tab w:val="clear" w:pos="1985"/>
              </w:tabs>
              <w:kinsoku/>
              <w:wordWrap/>
              <w:overflowPunct/>
              <w:topLinePunct w:val="0"/>
              <w:autoSpaceDE/>
              <w:autoSpaceDN/>
              <w:bidi w:val="0"/>
              <w:adjustRightInd/>
              <w:snapToGrid/>
              <w:spacing w:after="0" w:line="240" w:lineRule="auto"/>
              <w:ind w:left="0" w:leftChars="0" w:right="105" w:rightChars="50" w:firstLine="0" w:firstLineChars="0"/>
              <w:jc w:val="left"/>
              <w:textAlignment w:val="auto"/>
              <w:rPr>
                <w:rFonts w:hint="default"/>
                <w:b w:val="0"/>
                <w:bCs/>
                <w:color w:val="auto"/>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r>
              <w:rPr>
                <w:rFonts w:hint="eastAsia"/>
                <w:color w:val="auto"/>
                <w:highlight w:val="none"/>
                <w:u w:val="single"/>
                <w:vertAlign w:val="baseline"/>
                <w:lang w:val="en-US" w:eastAsia="zh-CN"/>
              </w:rPr>
              <w:t xml:space="preserve">                    </w:t>
            </w:r>
            <w:r>
              <w:rPr>
                <w:rFonts w:hint="eastAsia" w:ascii="黑体" w:hAnsi="黑体" w:eastAsia="黑体" w:cs="黑体"/>
                <w:b w:val="0"/>
                <w:bCs/>
                <w:color w:val="auto"/>
                <w:u w:val="none"/>
                <w:lang w:val="en-US" w:eastAsia="zh-CN"/>
              </w:rPr>
              <w:t xml:space="preserve"> </w:t>
            </w:r>
          </w:p>
          <w:p>
            <w:pPr>
              <w:pStyle w:val="8"/>
            </w:pPr>
          </w:p>
          <w:p>
            <w:pPr>
              <w:shd w:val="clear" w:color="auto"/>
              <w:jc w:val="left"/>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基础设施可满足食品安全管理体系运行；</w:t>
            </w:r>
          </w:p>
          <w:p>
            <w:pPr>
              <w:shd w:val="clear" w:color="auto"/>
              <w:jc w:val="left"/>
              <w:rPr>
                <w:highlight w:val="none"/>
                <w:u w:val="single"/>
              </w:rPr>
            </w:pPr>
            <w:r>
              <w:rPr>
                <w:rFonts w:hint="eastAsia"/>
                <w:highlight w:val="none"/>
              </w:rPr>
              <w:sym w:font="Wingdings 2" w:char="00A3"/>
            </w:r>
            <w:r>
              <w:rPr>
                <w:rFonts w:hint="eastAsia"/>
                <w:highlight w:val="none"/>
              </w:rPr>
              <w:t>组织</w:t>
            </w:r>
            <w:r>
              <w:rPr>
                <w:highlight w:val="none"/>
              </w:rPr>
              <w:t>现有</w:t>
            </w:r>
            <w:r>
              <w:rPr>
                <w:rFonts w:hint="eastAsia"/>
                <w:highlight w:val="none"/>
              </w:rPr>
              <w:t>基础设施可基本满足食品安全管理体系运行，但是还有不足需要补充：</w:t>
            </w:r>
            <w:r>
              <w:rPr>
                <w:rFonts w:hint="eastAsia"/>
                <w:highlight w:val="none"/>
                <w:u w:val="single"/>
                <w:lang w:val="en-US" w:eastAsia="zh-CN"/>
              </w:rPr>
              <w:t xml:space="preserve"> </w:t>
            </w:r>
            <w:r>
              <w:rPr>
                <w:rFonts w:hint="eastAsia"/>
                <w:highlight w:val="none"/>
                <w:u w:val="single"/>
              </w:rPr>
              <w:t xml:space="preserve">        </w:t>
            </w:r>
          </w:p>
          <w:p>
            <w:pPr>
              <w:shd w:val="clear" w:color="auto"/>
              <w:jc w:val="left"/>
              <w:rPr>
                <w:u w:val="single"/>
              </w:rPr>
            </w:pPr>
            <w:r>
              <w:rPr>
                <w:rFonts w:hint="eastAsia"/>
                <w:highlight w:val="none"/>
              </w:rPr>
              <w:sym w:font="Wingdings 2" w:char="00A3"/>
            </w:r>
            <w:r>
              <w:rPr>
                <w:rFonts w:hint="eastAsia"/>
                <w:highlight w:val="none"/>
              </w:rPr>
              <w:t>组织</w:t>
            </w:r>
            <w:r>
              <w:rPr>
                <w:highlight w:val="none"/>
              </w:rPr>
              <w:t>现有</w:t>
            </w:r>
            <w:r>
              <w:rPr>
                <w:rFonts w:hint="eastAsia"/>
                <w:highlight w:val="none"/>
              </w:rPr>
              <w:t>基础设施完全不能满足食品安全管理体系运行，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t xml:space="preserve">组织应确定、提供并维护所需的人为因素与物理因素环境，以实现与FSMS要求的一致性。 </w:t>
            </w:r>
          </w:p>
          <w:p>
            <w:pPr>
              <w:shd w:val="clear" w:color="auto"/>
            </w:pP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EBF1DE" w:themeFill="accent3" w:themeFillTint="32"/>
              <w:jc w:val="left"/>
              <w:rPr>
                <w:highlight w:val="none"/>
              </w:rPr>
            </w:pPr>
            <w:r>
              <w:rPr>
                <w:rFonts w:hint="eastAsia"/>
                <w:highlight w:val="none"/>
              </w:rPr>
              <w:t xml:space="preserve">外部提供包括：☑原材料采购 </w:t>
            </w:r>
            <w:r>
              <w:rPr>
                <w:rFonts w:hint="eastAsia"/>
                <w:highlight w:val="none"/>
              </w:rPr>
              <w:sym w:font="Wingdings" w:char="00A8"/>
            </w:r>
            <w:r>
              <w:rPr>
                <w:rFonts w:hint="eastAsia"/>
                <w:highlight w:val="none"/>
              </w:rPr>
              <w:t xml:space="preserve">委托加工  </w:t>
            </w:r>
            <w:r>
              <w:rPr>
                <w:rFonts w:hint="eastAsia"/>
                <w:highlight w:val="none"/>
              </w:rPr>
              <w:sym w:font="Wingdings" w:char="00A8"/>
            </w:r>
            <w:r>
              <w:rPr>
                <w:rFonts w:hint="eastAsia"/>
                <w:highlight w:val="none"/>
              </w:rPr>
              <w:t xml:space="preserve">产品运输  </w:t>
            </w:r>
            <w:r>
              <w:rPr>
                <w:rFonts w:hint="eastAsia"/>
                <w:highlight w:val="none"/>
              </w:rPr>
              <w:sym w:font="Wingdings" w:char="00A8"/>
            </w:r>
            <w:r>
              <w:rPr>
                <w:rFonts w:hint="eastAsia"/>
                <w:highlight w:val="none"/>
              </w:rPr>
              <w:t>其他</w:t>
            </w:r>
          </w:p>
          <w:p>
            <w:pPr>
              <w:shd w:val="clear" w:fill="EBF1DE" w:themeFill="accent3" w:themeFillTint="32"/>
              <w:snapToGrid w:val="0"/>
              <w:spacing w:line="264" w:lineRule="auto"/>
              <w:rPr>
                <w:rFonts w:hint="default" w:eastAsia="宋体"/>
                <w:szCs w:val="21"/>
                <w:highlight w:val="none"/>
                <w:lang w:val="en-US" w:eastAsia="zh-CN"/>
              </w:rPr>
            </w:pP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5</w:t>
            </w:r>
            <w:r>
              <w:rPr>
                <w:rFonts w:hint="eastAsia"/>
                <w:szCs w:val="21"/>
                <w:highlight w:val="none"/>
              </w:rPr>
              <w:t>家，例如：</w:t>
            </w:r>
            <w:r>
              <w:rPr>
                <w:rFonts w:hint="eastAsia"/>
                <w:szCs w:val="21"/>
                <w:highlight w:val="none"/>
                <w:lang w:val="en-US" w:eastAsia="zh-CN"/>
              </w:rPr>
              <w:t>生猪供方为顾客——审核周期内供方未发生较大变化</w:t>
            </w:r>
          </w:p>
          <w:p>
            <w:pPr>
              <w:widowControl/>
              <w:numPr>
                <w:ilvl w:val="0"/>
                <w:numId w:val="2"/>
              </w:numPr>
              <w:shd w:val="clear" w:fill="EBF1DE" w:themeFill="accent3" w:themeFillTint="32"/>
              <w:snapToGrid w:val="0"/>
              <w:spacing w:before="40" w:after="40" w:line="264" w:lineRule="auto"/>
              <w:rPr>
                <w:highlight w:val="none"/>
              </w:rPr>
            </w:pPr>
            <w:r>
              <w:rPr>
                <w:rFonts w:hint="eastAsia"/>
                <w:color w:val="0000FF"/>
                <w:szCs w:val="21"/>
                <w:highlight w:val="none"/>
                <w:lang w:val="en-US" w:eastAsia="zh-CN"/>
              </w:rPr>
              <w:t>辅料</w:t>
            </w:r>
            <w:r>
              <w:rPr>
                <w:rFonts w:hint="eastAsia"/>
                <w:color w:val="0000FF"/>
                <w:szCs w:val="21"/>
                <w:highlight w:val="none"/>
              </w:rPr>
              <w:t>的供方——</w:t>
            </w:r>
            <w:r>
              <w:rPr>
                <w:rFonts w:hint="eastAsia" w:ascii="宋体" w:hAnsi="宋体" w:cs="宋体"/>
                <w:bCs/>
                <w:color w:val="000000"/>
                <w:kern w:val="0"/>
                <w:sz w:val="20"/>
                <w:lang w:val="en-US" w:eastAsia="zh-CN"/>
              </w:rPr>
              <w:t>非洲猪瘟病毒荧光PCR核酸检测试剂盒（北京明日达科技发展有限责任公司）、</w:t>
            </w:r>
            <w:r>
              <w:rPr>
                <w:rFonts w:hint="eastAsia"/>
                <w:highlight w:val="none"/>
                <w:lang w:val="en-US" w:eastAsia="zh-CN"/>
              </w:rPr>
              <w:t>克伦莱克沙丁三联快速检测卡（北京维德维康生物技术有限公司）</w:t>
            </w:r>
          </w:p>
          <w:p>
            <w:pPr>
              <w:widowControl/>
              <w:numPr>
                <w:ilvl w:val="0"/>
                <w:numId w:val="2"/>
              </w:numPr>
              <w:shd w:val="clear" w:fill="EBF1DE" w:themeFill="accent3" w:themeFillTint="32"/>
              <w:snapToGrid w:val="0"/>
              <w:spacing w:before="40" w:after="40" w:line="264" w:lineRule="auto"/>
              <w:rPr>
                <w:highlight w:val="none"/>
              </w:rPr>
            </w:pPr>
            <w:r>
              <w:rPr>
                <w:rFonts w:hint="eastAsia"/>
                <w:color w:val="0000FF"/>
                <w:szCs w:val="21"/>
                <w:highlight w:val="none"/>
                <w:lang w:val="en-US" w:eastAsia="zh-CN"/>
              </w:rPr>
              <w:t>内包装袋的供方</w:t>
            </w:r>
            <w:r>
              <w:rPr>
                <w:rFonts w:hint="eastAsia"/>
                <w:color w:val="0000FF"/>
                <w:szCs w:val="21"/>
                <w:highlight w:val="none"/>
              </w:rPr>
              <w:t>——</w:t>
            </w:r>
            <w:r>
              <w:rPr>
                <w:rFonts w:hint="eastAsia"/>
                <w:color w:val="0000FF"/>
                <w:szCs w:val="21"/>
                <w:highlight w:val="none"/>
                <w:lang w:val="en-US" w:eastAsia="zh-CN"/>
              </w:rPr>
              <w:t>无</w:t>
            </w:r>
          </w:p>
          <w:p>
            <w:pPr>
              <w:widowControl/>
              <w:numPr>
                <w:ilvl w:val="0"/>
                <w:numId w:val="2"/>
              </w:numPr>
              <w:shd w:val="clear" w:fill="EBF1DE" w:themeFill="accent3" w:themeFillTint="32"/>
              <w:snapToGrid w:val="0"/>
              <w:spacing w:before="40" w:after="40" w:line="264" w:lineRule="auto"/>
              <w:rPr>
                <w:highlight w:val="none"/>
              </w:rPr>
            </w:pPr>
            <w:r>
              <w:rPr>
                <w:rFonts w:hint="eastAsia"/>
                <w:highlight w:val="none"/>
                <w:u w:val="single"/>
                <w:lang w:val="en-US" w:eastAsia="zh-CN"/>
              </w:rPr>
              <w:t>虫害控制服务供方——武义佳家环保科技有限公司等</w:t>
            </w:r>
          </w:p>
          <w:p>
            <w:pPr>
              <w:pStyle w:val="8"/>
              <w:shd w:val="clear" w:fill="EBF1DE" w:themeFill="accent3" w:themeFillTint="32"/>
              <w:ind w:left="0" w:leftChars="0" w:firstLine="0" w:firstLineChars="0"/>
              <w:rPr>
                <w:rFonts w:hint="eastAsia"/>
                <w:highlight w:val="none"/>
              </w:rPr>
            </w:pPr>
          </w:p>
          <w:p>
            <w:pPr>
              <w:shd w:val="clear" w:color="auto" w:fill="EBF1DE" w:themeFill="accent3" w:themeFillTint="32"/>
              <w:jc w:val="left"/>
            </w:pPr>
            <w:r>
              <w:rPr>
                <w:rFonts w:hint="eastAsia"/>
                <w:highlight w:val="none"/>
              </w:rPr>
              <w:t>与外部供方评价的信息：</w:t>
            </w:r>
            <w:r>
              <w:rPr>
                <w:rFonts w:hint="eastAsia"/>
                <w:highlight w:val="none"/>
                <w:lang w:eastAsia="zh-CN"/>
              </w:rPr>
              <w:sym w:font="Wingdings 2" w:char="0052"/>
            </w:r>
            <w:r>
              <w:rPr>
                <w:rFonts w:hint="eastAsia"/>
                <w:highlight w:val="none"/>
              </w:rPr>
              <w:t xml:space="preserve">符合要求 </w:t>
            </w:r>
            <w:r>
              <w:rPr>
                <w:rFonts w:hint="eastAsia"/>
                <w:highlight w:val="none"/>
              </w:rPr>
              <w:sym w:font="Wingdings" w:char="00FE"/>
            </w:r>
            <w:r>
              <w:rPr>
                <w:rFonts w:hint="eastAsia"/>
                <w:highlight w:val="none"/>
              </w:rPr>
              <w:t>存在不足，说明</w:t>
            </w:r>
            <w:r>
              <w:rPr>
                <w:rFonts w:hint="eastAsia"/>
                <w:highlight w:val="none"/>
                <w:u w:val="single"/>
              </w:rPr>
              <w:t xml:space="preserve"> </w:t>
            </w:r>
            <w:r>
              <w:rPr>
                <w:rFonts w:hint="eastAsia"/>
                <w:color w:val="FF0000"/>
                <w:highlight w:val="none"/>
                <w:u w:val="single"/>
              </w:rPr>
              <w:t>查外部供方管理情况发现：未将外部提供虫害控制服务的供方列入《合格供应商名录》，也未见2022年度对其进行供方复评的证据，不符合《采购控制程序》4.1条款要求。</w:t>
            </w:r>
            <w:r>
              <w:rPr>
                <w:rFonts w:hint="eastAsia"/>
                <w:color w:val="FF0000"/>
                <w:highlight w:val="none"/>
                <w:u w:val="single"/>
                <w:lang w:val="en-US" w:eastAsia="zh-CN"/>
              </w:rPr>
              <w:t>见不符合项报告01</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组织已确定在其控制的工作人员所需具备的能力，并采取措施以获得所需的能力，并评价措施的有效性；</w:t>
            </w:r>
          </w:p>
          <w:p>
            <w:pPr>
              <w:shd w:val="clear" w:color="auto"/>
            </w:pPr>
            <w:r>
              <w:rPr>
                <w:rFonts w:hint="eastAsia"/>
              </w:rPr>
              <w:t xml:space="preserve">通过 ☑招聘 ☑换岗  ☑培训  ☑考核   ☑辅导  </w:t>
            </w:r>
            <w:r>
              <w:rPr>
                <w:rFonts w:hint="eastAsia"/>
              </w:rPr>
              <w:sym w:font="Wingdings" w:char="00A8"/>
            </w:r>
            <w:r>
              <w:rPr>
                <w:rFonts w:hint="eastAsia"/>
              </w:rPr>
              <w:t>其他</w:t>
            </w:r>
          </w:p>
          <w:p>
            <w:pPr>
              <w:shd w:val="clear" w:color="auto"/>
            </w:pPr>
            <w:r>
              <w:rPr>
                <w:rFonts w:hint="eastAsia"/>
              </w:rPr>
              <w:t>对国家规定持证上岗的人员资质进行了有效的管理。</w:t>
            </w:r>
          </w:p>
          <w:p>
            <w:pPr>
              <w:shd w:val="clear" w:color="auto"/>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FE"/>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p>
            <w:pPr>
              <w:shd w:val="clear" w:color="auto"/>
              <w:rPr>
                <w:rFonts w:hint="eastAsia"/>
              </w:rPr>
            </w:pPr>
            <w:r>
              <w:rPr>
                <w:rFonts w:hint="eastAsia"/>
              </w:rPr>
              <w:t>确保与产品/服务接触的员工定期（近一年）进行了健康体检，并合格上岗。</w:t>
            </w:r>
          </w:p>
          <w:tbl>
            <w:tblPr>
              <w:tblStyle w:val="10"/>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133"/>
              <w:gridCol w:w="1627"/>
              <w:gridCol w:w="2003"/>
              <w:gridCol w:w="127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14" w:type="dxa"/>
                </w:tcPr>
                <w:p>
                  <w:r>
                    <w:rPr>
                      <w:rFonts w:hint="eastAsia"/>
                    </w:rPr>
                    <w:t>岗位</w:t>
                  </w:r>
                </w:p>
              </w:tc>
              <w:tc>
                <w:tcPr>
                  <w:tcW w:w="1133" w:type="dxa"/>
                </w:tcPr>
                <w:p>
                  <w:r>
                    <w:rPr>
                      <w:rFonts w:hint="eastAsia"/>
                    </w:rPr>
                    <w:t>姓名</w:t>
                  </w:r>
                </w:p>
              </w:tc>
              <w:tc>
                <w:tcPr>
                  <w:tcW w:w="1627" w:type="dxa"/>
                </w:tcPr>
                <w:p>
                  <w:pPr>
                    <w:rPr>
                      <w:rFonts w:hint="default" w:eastAsia="宋体"/>
                      <w:lang w:val="en-US" w:eastAsia="zh-CN"/>
                    </w:rPr>
                  </w:pPr>
                  <w:r>
                    <w:rPr>
                      <w:rFonts w:hint="eastAsia"/>
                      <w:lang w:val="en-US" w:eastAsia="zh-CN"/>
                    </w:rPr>
                    <w:t>健康证编号</w:t>
                  </w:r>
                </w:p>
              </w:tc>
              <w:tc>
                <w:tcPr>
                  <w:tcW w:w="2003" w:type="dxa"/>
                </w:tcPr>
                <w:p>
                  <w:pPr>
                    <w:rPr>
                      <w:rFonts w:hint="default" w:eastAsia="宋体"/>
                      <w:lang w:val="en-US" w:eastAsia="zh-CN"/>
                    </w:rPr>
                  </w:pPr>
                  <w:r>
                    <w:rPr>
                      <w:rFonts w:hint="eastAsia"/>
                      <w:lang w:val="en-US" w:eastAsia="zh-CN"/>
                    </w:rPr>
                    <w:t>发放机构</w:t>
                  </w:r>
                </w:p>
              </w:tc>
              <w:tc>
                <w:tcPr>
                  <w:tcW w:w="1275" w:type="dxa"/>
                </w:tcPr>
                <w:p>
                  <w:pPr>
                    <w:rPr>
                      <w:rFonts w:hint="default"/>
                      <w:lang w:val="en-US" w:eastAsia="zh-CN"/>
                    </w:rPr>
                  </w:pPr>
                  <w:r>
                    <w:rPr>
                      <w:rFonts w:hint="eastAsia"/>
                      <w:lang w:val="en-US" w:eastAsia="zh-CN"/>
                    </w:rPr>
                    <w:t>有效期至</w:t>
                  </w:r>
                </w:p>
              </w:tc>
              <w:tc>
                <w:tcPr>
                  <w:tcW w:w="1043" w:type="dxa"/>
                </w:tcPr>
                <w:p>
                  <w:pPr>
                    <w:rPr>
                      <w:rFonts w:hint="default"/>
                      <w:lang w:val="en-US" w:eastAsia="zh-CN"/>
                    </w:rPr>
                  </w:pPr>
                  <w:r>
                    <w:rPr>
                      <w:rFonts w:hint="eastAsia"/>
                      <w:lang w:val="en-US" w:eastAsia="zh-CN"/>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614" w:type="dxa"/>
                </w:tcPr>
                <w:p>
                  <w:pPr>
                    <w:rPr>
                      <w:rFonts w:hint="default"/>
                      <w:lang w:val="en-US" w:eastAsia="zh-CN"/>
                    </w:rPr>
                  </w:pPr>
                  <w:r>
                    <w:rPr>
                      <w:rFonts w:hint="eastAsia"/>
                      <w:lang w:val="en-US" w:eastAsia="zh-CN"/>
                    </w:rPr>
                    <w:t>加工厂-操作工</w:t>
                  </w:r>
                </w:p>
              </w:tc>
              <w:tc>
                <w:tcPr>
                  <w:tcW w:w="1133" w:type="dxa"/>
                  <w:vAlign w:val="center"/>
                </w:tcPr>
                <w:p>
                  <w:pPr>
                    <w:jc w:val="center"/>
                    <w:rPr>
                      <w:rFonts w:hint="default" w:cs="Times New Roman"/>
                      <w:kern w:val="2"/>
                      <w:sz w:val="21"/>
                      <w:lang w:val="en-US" w:eastAsia="zh-CN" w:bidi="ar-SA"/>
                    </w:rPr>
                  </w:pPr>
                  <w:r>
                    <w:rPr>
                      <w:rFonts w:hint="eastAsia" w:cs="Times New Roman"/>
                      <w:kern w:val="2"/>
                      <w:sz w:val="21"/>
                      <w:lang w:val="en-US" w:eastAsia="zh-CN" w:bidi="ar-SA"/>
                    </w:rPr>
                    <w:t>向木丽</w:t>
                  </w:r>
                </w:p>
              </w:tc>
              <w:tc>
                <w:tcPr>
                  <w:tcW w:w="1627" w:type="dxa"/>
                  <w:vAlign w:val="top"/>
                </w:tcPr>
                <w:p>
                  <w:pPr>
                    <w:rPr>
                      <w:rFonts w:hint="default"/>
                      <w:lang w:val="en-US" w:eastAsia="zh-CN"/>
                    </w:rPr>
                  </w:pPr>
                  <w:r>
                    <w:rPr>
                      <w:rFonts w:hint="eastAsia"/>
                      <w:lang w:val="en-US" w:eastAsia="zh-CN"/>
                    </w:rPr>
                    <w:t>JKZ0000011182</w:t>
                  </w:r>
                </w:p>
              </w:tc>
              <w:tc>
                <w:tcPr>
                  <w:tcW w:w="2003" w:type="dxa"/>
                  <w:vAlign w:val="top"/>
                </w:tcPr>
                <w:p>
                  <w:pPr>
                    <w:rPr>
                      <w:rFonts w:hint="eastAsia"/>
                      <w:lang w:val="en-US" w:eastAsia="zh-CN"/>
                    </w:rPr>
                  </w:pPr>
                  <w:r>
                    <w:rPr>
                      <w:rFonts w:hint="eastAsia"/>
                      <w:lang w:val="en-US" w:eastAsia="zh-CN"/>
                    </w:rPr>
                    <w:t>武义壶山谢氏医院</w:t>
                  </w:r>
                </w:p>
              </w:tc>
              <w:tc>
                <w:tcPr>
                  <w:tcW w:w="127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2023-07-19</w:t>
                  </w:r>
                </w:p>
              </w:tc>
              <w:tc>
                <w:tcPr>
                  <w:tcW w:w="1043" w:type="dxa"/>
                </w:tcPr>
                <w:p>
                  <w:pPr>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614" w:type="dxa"/>
                </w:tcPr>
                <w:p>
                  <w:pPr>
                    <w:rPr>
                      <w:rFonts w:hint="eastAsia"/>
                      <w:lang w:val="en-US" w:eastAsia="zh-CN"/>
                    </w:rPr>
                  </w:pPr>
                  <w:r>
                    <w:rPr>
                      <w:rFonts w:hint="eastAsia"/>
                      <w:lang w:val="en-US" w:eastAsia="zh-CN"/>
                    </w:rPr>
                    <w:t>加工厂-操作工</w:t>
                  </w:r>
                </w:p>
              </w:tc>
              <w:tc>
                <w:tcPr>
                  <w:tcW w:w="1133" w:type="dxa"/>
                  <w:vAlign w:val="center"/>
                </w:tcPr>
                <w:p>
                  <w:pPr>
                    <w:jc w:val="center"/>
                    <w:rPr>
                      <w:rFonts w:hint="default" w:cs="Times New Roman"/>
                      <w:kern w:val="2"/>
                      <w:sz w:val="21"/>
                      <w:lang w:val="en-US" w:eastAsia="zh-CN" w:bidi="ar-SA"/>
                    </w:rPr>
                  </w:pPr>
                  <w:r>
                    <w:rPr>
                      <w:rFonts w:hint="eastAsia" w:cs="Times New Roman"/>
                      <w:kern w:val="2"/>
                      <w:sz w:val="21"/>
                      <w:lang w:val="en-US" w:eastAsia="zh-CN" w:bidi="ar-SA"/>
                    </w:rPr>
                    <w:t>李育平</w:t>
                  </w:r>
                </w:p>
              </w:tc>
              <w:tc>
                <w:tcPr>
                  <w:tcW w:w="1627" w:type="dxa"/>
                  <w:vAlign w:val="top"/>
                </w:tcPr>
                <w:p>
                  <w:pPr>
                    <w:rPr>
                      <w:rFonts w:hint="default"/>
                      <w:lang w:val="en-US" w:eastAsia="zh-CN"/>
                    </w:rPr>
                  </w:pPr>
                  <w:r>
                    <w:rPr>
                      <w:rFonts w:hint="eastAsia"/>
                      <w:lang w:val="en-US" w:eastAsia="zh-CN"/>
                    </w:rPr>
                    <w:t>JKZ0000011221</w:t>
                  </w:r>
                </w:p>
              </w:tc>
              <w:tc>
                <w:tcPr>
                  <w:tcW w:w="2003" w:type="dxa"/>
                  <w:vAlign w:val="top"/>
                </w:tcPr>
                <w:p>
                  <w:pPr>
                    <w:rPr>
                      <w:rFonts w:hint="eastAsia"/>
                      <w:lang w:val="en-US" w:eastAsia="zh-CN"/>
                    </w:rPr>
                  </w:pPr>
                  <w:r>
                    <w:rPr>
                      <w:rFonts w:hint="eastAsia"/>
                      <w:lang w:val="en-US" w:eastAsia="zh-CN"/>
                    </w:rPr>
                    <w:t>武义壶山谢氏医院</w:t>
                  </w:r>
                </w:p>
              </w:tc>
              <w:tc>
                <w:tcPr>
                  <w:tcW w:w="127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2023-07-20</w:t>
                  </w:r>
                </w:p>
              </w:tc>
              <w:tc>
                <w:tcPr>
                  <w:tcW w:w="1043" w:type="dxa"/>
                </w:tcPr>
                <w:p>
                  <w:pPr>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614" w:type="dxa"/>
                </w:tcPr>
                <w:p>
                  <w:pPr>
                    <w:rPr>
                      <w:rFonts w:hint="eastAsia"/>
                      <w:lang w:val="en-US" w:eastAsia="zh-CN"/>
                    </w:rPr>
                  </w:pPr>
                  <w:r>
                    <w:rPr>
                      <w:rFonts w:hint="eastAsia"/>
                      <w:lang w:val="en-US" w:eastAsia="zh-CN"/>
                    </w:rPr>
                    <w:t>兽医检验</w:t>
                  </w:r>
                </w:p>
              </w:tc>
              <w:tc>
                <w:tcPr>
                  <w:tcW w:w="1133" w:type="dxa"/>
                  <w:vAlign w:val="center"/>
                </w:tcPr>
                <w:p>
                  <w:pPr>
                    <w:jc w:val="center"/>
                    <w:rPr>
                      <w:rFonts w:hint="eastAsia" w:cs="Times New Roman"/>
                      <w:kern w:val="2"/>
                      <w:sz w:val="21"/>
                      <w:lang w:val="en-US" w:eastAsia="zh-CN" w:bidi="ar-SA"/>
                    </w:rPr>
                  </w:pPr>
                  <w:r>
                    <w:rPr>
                      <w:rFonts w:hint="eastAsia"/>
                      <w:lang w:val="en-US" w:eastAsia="zh-CN"/>
                    </w:rPr>
                    <w:t>张宇宇</w:t>
                  </w:r>
                </w:p>
              </w:tc>
              <w:tc>
                <w:tcPr>
                  <w:tcW w:w="1627" w:type="dxa"/>
                  <w:vAlign w:val="top"/>
                </w:tcPr>
                <w:p>
                  <w:pPr>
                    <w:rPr>
                      <w:rFonts w:hint="default"/>
                      <w:lang w:val="en-US" w:eastAsia="zh-CN"/>
                    </w:rPr>
                  </w:pPr>
                  <w:r>
                    <w:rPr>
                      <w:rFonts w:hint="eastAsia"/>
                      <w:lang w:val="en-US" w:eastAsia="zh-CN"/>
                    </w:rPr>
                    <w:t>JKZ0000011179</w:t>
                  </w:r>
                </w:p>
              </w:tc>
              <w:tc>
                <w:tcPr>
                  <w:tcW w:w="2003" w:type="dxa"/>
                  <w:vAlign w:val="top"/>
                </w:tcPr>
                <w:p>
                  <w:pPr>
                    <w:rPr>
                      <w:rFonts w:hint="eastAsia"/>
                      <w:lang w:val="en-US" w:eastAsia="zh-CN"/>
                    </w:rPr>
                  </w:pPr>
                  <w:r>
                    <w:rPr>
                      <w:rFonts w:hint="eastAsia"/>
                      <w:lang w:val="en-US" w:eastAsia="zh-CN"/>
                    </w:rPr>
                    <w:t>武义壶山谢氏医院</w:t>
                  </w:r>
                </w:p>
              </w:tc>
              <w:tc>
                <w:tcPr>
                  <w:tcW w:w="127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2023-07-19</w:t>
                  </w:r>
                </w:p>
              </w:tc>
              <w:tc>
                <w:tcPr>
                  <w:tcW w:w="104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614" w:type="dxa"/>
                </w:tcPr>
                <w:p>
                  <w:pPr>
                    <w:rPr>
                      <w:rFonts w:hint="eastAsia"/>
                      <w:lang w:val="en-US" w:eastAsia="zh-CN"/>
                    </w:rPr>
                  </w:pPr>
                  <w:r>
                    <w:rPr>
                      <w:rFonts w:hint="eastAsia"/>
                      <w:lang w:val="en-US" w:eastAsia="zh-CN"/>
                    </w:rPr>
                    <w:t>加工厂-操作工</w:t>
                  </w:r>
                </w:p>
              </w:tc>
              <w:tc>
                <w:tcPr>
                  <w:tcW w:w="1133" w:type="dxa"/>
                  <w:vAlign w:val="center"/>
                </w:tcPr>
                <w:p>
                  <w:pPr>
                    <w:jc w:val="center"/>
                    <w:rPr>
                      <w:rFonts w:hint="default" w:cs="Times New Roman"/>
                      <w:kern w:val="2"/>
                      <w:sz w:val="21"/>
                      <w:lang w:val="en-US" w:eastAsia="zh-CN" w:bidi="ar-SA"/>
                    </w:rPr>
                  </w:pPr>
                  <w:r>
                    <w:rPr>
                      <w:rFonts w:hint="eastAsia" w:cs="Times New Roman"/>
                      <w:kern w:val="2"/>
                      <w:sz w:val="21"/>
                      <w:lang w:val="en-US" w:eastAsia="zh-CN" w:bidi="ar-SA"/>
                    </w:rPr>
                    <w:t>陈彬峰</w:t>
                  </w:r>
                </w:p>
              </w:tc>
              <w:tc>
                <w:tcPr>
                  <w:tcW w:w="1627" w:type="dxa"/>
                  <w:vAlign w:val="top"/>
                </w:tcPr>
                <w:p>
                  <w:pPr>
                    <w:rPr>
                      <w:rFonts w:hint="default"/>
                      <w:lang w:val="en-US" w:eastAsia="zh-CN"/>
                    </w:rPr>
                  </w:pPr>
                  <w:r>
                    <w:rPr>
                      <w:rFonts w:hint="eastAsia"/>
                      <w:lang w:val="en-US" w:eastAsia="zh-CN"/>
                    </w:rPr>
                    <w:t>JKZ0000011190</w:t>
                  </w:r>
                </w:p>
              </w:tc>
              <w:tc>
                <w:tcPr>
                  <w:tcW w:w="200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武义壶山谢氏医院</w:t>
                  </w:r>
                </w:p>
              </w:tc>
              <w:tc>
                <w:tcPr>
                  <w:tcW w:w="127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2023-07-19</w:t>
                  </w:r>
                </w:p>
              </w:tc>
              <w:tc>
                <w:tcPr>
                  <w:tcW w:w="104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614" w:type="dxa"/>
                </w:tcPr>
                <w:p>
                  <w:pPr>
                    <w:rPr>
                      <w:rFonts w:hint="eastAsia"/>
                      <w:lang w:val="en-US" w:eastAsia="zh-CN"/>
                    </w:rPr>
                  </w:pPr>
                  <w:r>
                    <w:rPr>
                      <w:rFonts w:hint="eastAsia"/>
                      <w:lang w:val="en-US" w:eastAsia="zh-CN"/>
                    </w:rPr>
                    <w:t>加工厂-操作工</w:t>
                  </w:r>
                </w:p>
              </w:tc>
              <w:tc>
                <w:tcPr>
                  <w:tcW w:w="1133" w:type="dxa"/>
                  <w:vAlign w:val="center"/>
                </w:tcPr>
                <w:p>
                  <w:pPr>
                    <w:jc w:val="center"/>
                    <w:rPr>
                      <w:rFonts w:hint="default" w:cs="Times New Roman"/>
                      <w:kern w:val="2"/>
                      <w:sz w:val="21"/>
                      <w:lang w:val="en-US" w:eastAsia="zh-CN" w:bidi="ar-SA"/>
                    </w:rPr>
                  </w:pPr>
                  <w:r>
                    <w:rPr>
                      <w:rFonts w:hint="eastAsia" w:cs="Times New Roman"/>
                      <w:kern w:val="2"/>
                      <w:sz w:val="21"/>
                      <w:lang w:val="en-US" w:eastAsia="zh-CN" w:bidi="ar-SA"/>
                    </w:rPr>
                    <w:t>汤作贤</w:t>
                  </w:r>
                </w:p>
              </w:tc>
              <w:tc>
                <w:tcPr>
                  <w:tcW w:w="1627" w:type="dxa"/>
                  <w:vAlign w:val="top"/>
                </w:tcPr>
                <w:p>
                  <w:pPr>
                    <w:rPr>
                      <w:rFonts w:hint="default"/>
                      <w:lang w:val="en-US" w:eastAsia="zh-CN"/>
                    </w:rPr>
                  </w:pPr>
                  <w:r>
                    <w:rPr>
                      <w:rFonts w:hint="eastAsia"/>
                      <w:lang w:val="en-US" w:eastAsia="zh-CN"/>
                    </w:rPr>
                    <w:t>JKZ0000011235</w:t>
                  </w:r>
                </w:p>
              </w:tc>
              <w:tc>
                <w:tcPr>
                  <w:tcW w:w="200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武义壶山谢氏医院</w:t>
                  </w:r>
                </w:p>
              </w:tc>
              <w:tc>
                <w:tcPr>
                  <w:tcW w:w="127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2023-07-19</w:t>
                  </w:r>
                </w:p>
              </w:tc>
              <w:tc>
                <w:tcPr>
                  <w:tcW w:w="104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有效</w:t>
                  </w:r>
                </w:p>
              </w:tc>
            </w:tr>
          </w:tbl>
          <w:p>
            <w:pPr>
              <w:pStyle w:val="8"/>
              <w:rPr>
                <w:rFonts w:hint="default" w:eastAsia="宋体"/>
                <w:lang w:val="en-US" w:eastAsia="zh-CN"/>
              </w:rPr>
            </w:pPr>
          </w:p>
          <w:p>
            <w:pPr>
              <w:shd w:val="clear" w:color="auto"/>
            </w:pPr>
            <w:r>
              <w:rPr>
                <w:rFonts w:hint="eastAsia"/>
              </w:rPr>
              <w:t xml:space="preserve">   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pPr>
            <w:r>
              <w:rPr>
                <w:rFonts w:hint="eastAsia"/>
              </w:rPr>
              <w:t>食品安全小组包括以下组员/职能：</w:t>
            </w:r>
          </w:p>
          <w:p>
            <w:pPr>
              <w:shd w:val="clear"/>
              <w:tabs>
                <w:tab w:val="left" w:pos="510"/>
              </w:tabs>
              <w:autoSpaceDE w:val="0"/>
              <w:autoSpaceDN w:val="0"/>
              <w:adjustRightInd w:val="0"/>
              <w:ind w:right="6"/>
            </w:pPr>
            <w:r>
              <w:rPr>
                <w:rFonts w:hint="eastAsia"/>
              </w:rPr>
              <w:t>☑管理者代表 (食品安全小组组长) 、☑</w:t>
            </w:r>
            <w:r>
              <w:rPr>
                <w:rFonts w:hint="eastAsia"/>
                <w:lang w:val="en-US" w:eastAsia="zh-CN"/>
              </w:rPr>
              <w:t>加工厂</w:t>
            </w:r>
            <w:r>
              <w:rPr>
                <w:rFonts w:hint="eastAsia"/>
              </w:rPr>
              <w:t>人员、 ☑</w:t>
            </w:r>
            <w:r>
              <w:rPr>
                <w:rFonts w:hint="eastAsia"/>
                <w:lang w:val="en-US" w:eastAsia="zh-CN"/>
              </w:rPr>
              <w:t>检验室</w:t>
            </w:r>
            <w:r>
              <w:rPr>
                <w:rFonts w:hint="eastAsia"/>
              </w:rPr>
              <w:t>人员、☑</w:t>
            </w:r>
            <w:r>
              <w:rPr>
                <w:rFonts w:hint="eastAsia"/>
                <w:lang w:val="en-US" w:eastAsia="zh-CN"/>
              </w:rPr>
              <w:t>办公室</w:t>
            </w:r>
            <w:r>
              <w:rPr>
                <w:rFonts w:hint="eastAsia"/>
              </w:rPr>
              <w:t>人员、</w:t>
            </w:r>
          </w:p>
          <w:p>
            <w:pPr>
              <w:shd w:val="clear"/>
              <w:tabs>
                <w:tab w:val="left" w:pos="510"/>
              </w:tabs>
              <w:autoSpaceDE w:val="0"/>
              <w:autoSpaceDN w:val="0"/>
              <w:adjustRightInd w:val="0"/>
              <w:ind w:right="6"/>
            </w:pPr>
            <w:r>
              <w:rPr>
                <w:rFonts w:hint="eastAsia"/>
              </w:rPr>
              <w:sym w:font="Wingdings" w:char="00A8"/>
            </w:r>
            <w:r>
              <w:rPr>
                <w:rFonts w:hint="eastAsia"/>
                <w:lang w:val="en-US" w:eastAsia="zh-CN"/>
              </w:rPr>
              <w:t>业务部</w:t>
            </w:r>
            <w:r>
              <w:rPr>
                <w:rFonts w:hint="eastAsia"/>
              </w:rPr>
              <w:t xml:space="preserve">人员、  </w:t>
            </w:r>
            <w:r>
              <w:rPr>
                <w:rFonts w:hint="eastAsia"/>
              </w:rPr>
              <w:sym w:font="Wingdings" w:char="00A8"/>
            </w:r>
            <w:r>
              <w:rPr>
                <w:rFonts w:hint="eastAsia"/>
              </w:rPr>
              <w:t>HR部人员、</w:t>
            </w:r>
            <w:r>
              <w:rPr>
                <w:rFonts w:hint="eastAsia"/>
              </w:rPr>
              <w:sym w:font="Wingdings" w:char="00A8"/>
            </w:r>
            <w:r>
              <w:rPr>
                <w:rFonts w:hint="eastAsia"/>
              </w:rPr>
              <w:t xml:space="preserve">销售部人员  </w:t>
            </w:r>
            <w:r>
              <w:rPr>
                <w:rFonts w:hint="eastAsia"/>
              </w:rPr>
              <w:sym w:font="Wingdings" w:char="00A8"/>
            </w:r>
            <w:r>
              <w:rPr>
                <w:rFonts w:hint="eastAsia"/>
              </w:rPr>
              <w:t>其他</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组织已确定与食品安全管理体系相关的内部和外部沟通。</w:t>
            </w:r>
          </w:p>
          <w:p>
            <w:pPr>
              <w:shd w:val="clear" w:color="auto"/>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pPr>
            <w:r>
              <w:rPr>
                <w:rFonts w:hint="eastAsia"/>
              </w:rPr>
              <w:t>内部沟通信息：☑</w:t>
            </w:r>
            <w:r>
              <w:rPr>
                <w:rFonts w:hint="eastAsia"/>
                <w:lang w:val="en-US" w:eastAsia="zh-CN"/>
              </w:rPr>
              <w:t>PRP</w:t>
            </w:r>
            <w:r>
              <w:rPr>
                <w:rFonts w:hint="eastAsia"/>
              </w:rPr>
              <w:t xml:space="preserve">  ☑OPR</w:t>
            </w:r>
            <w:r>
              <w:rPr>
                <w:rFonts w:hint="eastAsia"/>
                <w:lang w:val="en-US" w:eastAsia="zh-CN"/>
              </w:rPr>
              <w:t>P</w:t>
            </w:r>
            <w:r>
              <w:rPr>
                <w:rFonts w:hint="eastAsia"/>
              </w:rPr>
              <w:t xml:space="preserve">  ☑HACCP计划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ind w:firstLine="1470" w:firstLineChars="700"/>
            </w:pPr>
            <w:r>
              <w:rPr>
                <w:rFonts w:hint="eastAsia"/>
              </w:rPr>
              <w:sym w:font="Wingdings" w:char="00FE"/>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lang w:eastAsia="zh-CN"/>
              </w:rPr>
              <w:sym w:font="Wingdings 2" w:char="0052"/>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snapToGrid w:val="0"/>
              <w:spacing w:line="360" w:lineRule="auto"/>
              <w:rPr>
                <w:rFonts w:hint="default" w:hAnsi="宋体" w:eastAsia="宋体"/>
                <w:b/>
                <w:color w:val="FF0000"/>
                <w:sz w:val="21"/>
                <w:szCs w:val="21"/>
                <w:u w:val="singl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lang w:val="en-US" w:eastAsia="zh-CN"/>
              </w:rPr>
              <w:t xml:space="preserve"> </w:t>
            </w:r>
            <w:r>
              <w:rPr>
                <w:rFonts w:hint="eastAsia"/>
                <w:u w:val="single"/>
                <w:lang w:val="en-US" w:eastAsia="zh-CN"/>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restart"/>
            <w:shd w:val="clear" w:color="auto" w:fill="EBF1DE" w:themeFill="accent3" w:themeFillTint="32"/>
          </w:tcPr>
          <w:p>
            <w:pPr>
              <w:shd w:val="clear" w:color="auto"/>
            </w:pPr>
            <w:r>
              <w:rPr>
                <w:rFonts w:hint="eastAsia"/>
              </w:rPr>
              <w:t>运行</w:t>
            </w:r>
          </w:p>
        </w:tc>
        <w:tc>
          <w:tcPr>
            <w:tcW w:w="9634" w:type="dxa"/>
            <w:shd w:val="clear" w:color="auto" w:fill="EBF1DE" w:themeFill="accent3" w:themeFillTint="32"/>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ind w:firstLine="210" w:firstLineChars="100"/>
            </w:pPr>
            <w:r>
              <w:rPr>
                <w:rFonts w:hint="eastAsia"/>
              </w:rPr>
              <w:t>☑</w:t>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组织建立、实施、保持和更新PRP，以便于防止和/或减少产品、产品加工和工作环境中的污染物（包括食品安全危害）。</w:t>
            </w:r>
          </w:p>
          <w:p>
            <w:pPr>
              <w:shd w:val="clear" w:color="auto"/>
            </w:pPr>
            <w:r>
              <w:rPr>
                <w:rFonts w:hint="eastAsia"/>
              </w:rPr>
              <w:t>组织的《前提方案》时参照法规：</w:t>
            </w:r>
          </w:p>
          <w:p>
            <w:pPr>
              <w:rPr>
                <w:rFonts w:hint="eastAsia"/>
                <w:color w:val="000000"/>
                <w:sz w:val="21"/>
                <w:szCs w:val="21"/>
                <w:u w:val="single"/>
                <w:lang w:val="en-US" w:eastAsia="zh-CN"/>
              </w:rPr>
            </w:pPr>
            <w:r>
              <w:rPr>
                <w:rFonts w:hint="eastAsia"/>
              </w:rPr>
              <w:t>☑</w:t>
            </w:r>
            <w:r>
              <w:rPr>
                <w:rFonts w:hint="eastAsia"/>
                <w:color w:val="000000"/>
                <w:sz w:val="21"/>
                <w:szCs w:val="21"/>
                <w:u w:val="single"/>
              </w:rPr>
              <w:t xml:space="preserve"> </w:t>
            </w:r>
            <w:r>
              <w:rPr>
                <w:rFonts w:hint="eastAsia"/>
                <w:u w:val="single"/>
                <w:lang w:val="en-US" w:eastAsia="zh-CN"/>
              </w:rPr>
              <w:t>GB 12694-2016 《食品安全国家标准 畜禽屠宰加工卫生规范》、 GB/T 17236-2019 《畜禽屠宰操作规程 生猪》、GB/T 19479-2019 《畜禽屠宰良好操作规范 生猪》</w:t>
            </w:r>
            <w:r>
              <w:rPr>
                <w:rFonts w:hint="eastAsia"/>
                <w:szCs w:val="21"/>
                <w:u w:val="single"/>
              </w:rPr>
              <w:t xml:space="preserve">  </w:t>
            </w:r>
            <w:r>
              <w:rPr>
                <w:rFonts w:hint="eastAsia"/>
                <w:color w:val="000000"/>
                <w:sz w:val="21"/>
                <w:szCs w:val="21"/>
                <w:u w:val="single"/>
              </w:rPr>
              <w:t xml:space="preserve">  </w:t>
            </w:r>
            <w:r>
              <w:rPr>
                <w:rFonts w:hint="eastAsia"/>
                <w:color w:val="000000"/>
                <w:sz w:val="21"/>
                <w:szCs w:val="21"/>
                <w:u w:val="single"/>
                <w:lang w:val="en-US" w:eastAsia="zh-CN"/>
              </w:rPr>
              <w:t xml:space="preserve"> </w:t>
            </w:r>
          </w:p>
          <w:p>
            <w:pPr>
              <w:shd w:val="clear" w:color="auto"/>
            </w:pPr>
            <w:r>
              <w:rPr>
                <w:rFonts w:hint="eastAsia"/>
                <w:lang w:eastAsia="zh-CN"/>
              </w:rPr>
              <w:sym w:font="Wingdings 2" w:char="0052"/>
            </w:r>
            <w:r>
              <w:rPr>
                <w:rFonts w:hint="eastAsia"/>
              </w:rPr>
              <w:t xml:space="preserve"> 行业相关规范：</w:t>
            </w:r>
          </w:p>
          <w:p>
            <w:pPr>
              <w:shd w:val="clear" w:color="auto"/>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pPr>
            <w:r>
              <w:t>a) 建筑物和相关设施的构造与布局；</w:t>
            </w:r>
            <w:r>
              <w:rPr>
                <w:rFonts w:hint="eastAsia"/>
              </w:rPr>
              <w:t xml:space="preserve">                          ☑有   </w:t>
            </w:r>
            <w:r>
              <w:rPr>
                <w:rFonts w:hint="eastAsia"/>
              </w:rPr>
              <w:sym w:font="Wingdings" w:char="00A8"/>
            </w:r>
            <w:r>
              <w:rPr>
                <w:rFonts w:hint="eastAsia"/>
              </w:rPr>
              <w:t>无</w:t>
            </w:r>
          </w:p>
          <w:p>
            <w:pPr>
              <w:shd w:val="clear" w:color="auto"/>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pPr>
            <w:r>
              <w:t>g) 来料的接收、储存、发运、运输和产品的搬运；</w:t>
            </w:r>
            <w:r>
              <w:rPr>
                <w:rFonts w:hint="eastAsia"/>
              </w:rPr>
              <w:t xml:space="preserve">              ☑有   </w:t>
            </w:r>
            <w:r>
              <w:rPr>
                <w:rFonts w:hint="eastAsia"/>
              </w:rPr>
              <w:sym w:font="Wingdings" w:char="00A8"/>
            </w:r>
            <w:r>
              <w:rPr>
                <w:rFonts w:hint="eastAsia"/>
              </w:rPr>
              <w:t>无</w:t>
            </w:r>
          </w:p>
          <w:p>
            <w:pPr>
              <w:shd w:val="clear" w:color="auto"/>
            </w:pPr>
            <w:r>
              <w:t>h) 防止交叉污染的措施；</w:t>
            </w:r>
            <w:r>
              <w:rPr>
                <w:rFonts w:hint="eastAsia"/>
              </w:rPr>
              <w:t xml:space="preserve">                                     ☑有   </w:t>
            </w:r>
            <w:r>
              <w:rPr>
                <w:rFonts w:hint="eastAsia"/>
              </w:rPr>
              <w:sym w:font="Wingdings" w:char="00A8"/>
            </w:r>
            <w:r>
              <w:rPr>
                <w:rFonts w:hint="eastAsia"/>
              </w:rPr>
              <w:t>无</w:t>
            </w:r>
          </w:p>
          <w:p>
            <w:pPr>
              <w:shd w:val="clear" w:color="auto"/>
            </w:pPr>
            <w:r>
              <w:t>i) 清洁和消毒；</w:t>
            </w:r>
            <w:r>
              <w:rPr>
                <w:rFonts w:hint="eastAsia"/>
              </w:rPr>
              <w:t xml:space="preserve">                                            ☑有   </w:t>
            </w:r>
            <w:r>
              <w:rPr>
                <w:rFonts w:hint="eastAsia"/>
              </w:rPr>
              <w:sym w:font="Wingdings" w:char="00A8"/>
            </w:r>
            <w:r>
              <w:rPr>
                <w:rFonts w:hint="eastAsia"/>
              </w:rPr>
              <w:t>无</w:t>
            </w:r>
          </w:p>
          <w:p>
            <w:pPr>
              <w:shd w:val="clear" w:color="auto"/>
            </w:pPr>
            <w:r>
              <w:t>j) 人员卫生；</w:t>
            </w:r>
            <w:r>
              <w:rPr>
                <w:rFonts w:hint="eastAsia"/>
              </w:rPr>
              <w:t xml:space="preserve">                                               ☑有   </w:t>
            </w:r>
            <w:r>
              <w:rPr>
                <w:rFonts w:hint="eastAsia"/>
              </w:rPr>
              <w:sym w:font="Wingdings" w:char="00A8"/>
            </w:r>
            <w:r>
              <w:rPr>
                <w:rFonts w:hint="eastAsia"/>
              </w:rPr>
              <w:t>无</w:t>
            </w:r>
          </w:p>
          <w:p>
            <w:pPr>
              <w:shd w:val="clear" w:color="auto"/>
            </w:pPr>
            <w:r>
              <w:t>k) 产品信息/消费者意识；</w:t>
            </w:r>
            <w:r>
              <w:rPr>
                <w:rFonts w:hint="eastAsia"/>
              </w:rPr>
              <w:t xml:space="preserve">                                    ☑有   </w:t>
            </w:r>
            <w:r>
              <w:rPr>
                <w:rFonts w:hint="eastAsia"/>
              </w:rPr>
              <w:sym w:font="Wingdings" w:char="00A8"/>
            </w:r>
            <w:r>
              <w:rPr>
                <w:rFonts w:hint="eastAsia"/>
              </w:rPr>
              <w:t>无</w:t>
            </w:r>
          </w:p>
          <w:p>
            <w:pPr>
              <w:shd w:val="clear" w:color="auto"/>
            </w:pPr>
            <w:r>
              <w:t>l) 其他有关方面。</w:t>
            </w:r>
            <w:r>
              <w:rPr>
                <w:rFonts w:hint="eastAsia"/>
              </w:rPr>
              <w:t xml:space="preserve">                                           ☑有   </w:t>
            </w:r>
            <w:r>
              <w:rPr>
                <w:rFonts w:hint="eastAsia"/>
              </w:rPr>
              <w:sym w:font="Wingdings" w:char="00A8"/>
            </w:r>
            <w:r>
              <w:rPr>
                <w:rFonts w:hint="eastAsia"/>
              </w:rPr>
              <w:t>无</w:t>
            </w:r>
          </w:p>
          <w:p>
            <w:pPr>
              <w:shd w:val="clear" w:color="auto"/>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pPr>
            <w:r>
              <w:t>a）唯一地识别来自供应商的来料</w:t>
            </w:r>
            <w:r>
              <w:rPr>
                <w:rFonts w:hint="eastAsia"/>
              </w:rPr>
              <w:t xml:space="preserve">                     ☑是   </w:t>
            </w:r>
            <w:r>
              <w:rPr>
                <w:rFonts w:hint="eastAsia"/>
              </w:rPr>
              <w:sym w:font="Wingdings" w:char="00A8"/>
            </w:r>
            <w:r>
              <w:rPr>
                <w:rFonts w:hint="eastAsia"/>
              </w:rPr>
              <w:t>否</w:t>
            </w:r>
          </w:p>
          <w:p>
            <w:pPr>
              <w:shd w:val="clear" w:color="auto"/>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rPr>
                <w:rFonts w:hint="default" w:eastAsia="宋体"/>
                <w:lang w:val="en-US"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p>
          <w:p>
            <w:pPr>
              <w:shd w:val="clear" w:color="auto"/>
              <w:rPr>
                <w:rFonts w:hint="default" w:eastAsia="宋体"/>
                <w:lang w:val="en-US" w:eastAsia="zh-CN"/>
              </w:rPr>
            </w:pPr>
            <w:r>
              <w:rPr>
                <w:rFonts w:hint="eastAsia"/>
              </w:rPr>
              <w:t>d）</w:t>
            </w:r>
            <w:r>
              <w:t>最终产品分销路线的第一阶段。</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p>
          <w:p>
            <w:pPr>
              <w:shd w:val="clear" w:color="auto"/>
              <w:rPr>
                <w:rFonts w:hint="default"/>
                <w:strike/>
                <w:dstrike w:val="0"/>
                <w:lang w:val="en-US" w:eastAsia="zh-CN"/>
              </w:rPr>
            </w:pPr>
            <w:r>
              <w:rPr>
                <w:rFonts w:hint="eastAsia"/>
                <w:strike/>
                <w:dstrike w:val="0"/>
              </w:rPr>
              <w:t xml:space="preserve">组织的产品保质期为 </w:t>
            </w:r>
            <w:r>
              <w:rPr>
                <w:rFonts w:hint="eastAsia"/>
                <w:strike/>
                <w:dstrike w:val="0"/>
                <w:u w:val="single"/>
              </w:rPr>
              <w:t xml:space="preserve">  </w:t>
            </w:r>
            <w:r>
              <w:rPr>
                <w:rFonts w:hint="eastAsia"/>
                <w:strike/>
                <w:dstrike w:val="0"/>
              </w:rPr>
              <w:t>个</w:t>
            </w:r>
            <w:r>
              <w:rPr>
                <w:rFonts w:hint="eastAsia"/>
                <w:strike/>
                <w:dstrike w:val="0"/>
                <w:lang w:val="en-US" w:eastAsia="zh-CN"/>
              </w:rPr>
              <w:t>月（不适用）</w:t>
            </w:r>
          </w:p>
          <w:p>
            <w:pPr>
              <w:shd w:val="clear" w:color="auto"/>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color w:val="0000FF"/>
                <w:u w:val="single"/>
                <w:lang w:val="en-US" w:eastAsia="zh-CN"/>
              </w:rPr>
              <w:t xml:space="preserve">24  </w:t>
            </w:r>
            <w:r>
              <w:rPr>
                <w:rFonts w:hint="eastAsia"/>
              </w:rPr>
              <w:t>个月</w:t>
            </w:r>
            <w:r>
              <w:t>。</w:t>
            </w:r>
          </w:p>
          <w:p>
            <w:pPr>
              <w:shd w:val="clear" w:color="auto"/>
              <w:rPr>
                <w:highlight w:val="none"/>
              </w:rPr>
            </w:pPr>
            <w:r>
              <w:rPr>
                <w:highlight w:val="none"/>
              </w:rPr>
              <w:t>组织</w:t>
            </w:r>
            <w:r>
              <w:rPr>
                <w:rFonts w:hint="eastAsia"/>
                <w:highlight w:val="none"/>
              </w:rPr>
              <w:t>于</w:t>
            </w:r>
            <w:r>
              <w:rPr>
                <w:rFonts w:hint="eastAsia"/>
                <w:highlight w:val="none"/>
                <w:u w:val="single"/>
              </w:rPr>
              <w:t xml:space="preserve">  </w:t>
            </w:r>
            <w:r>
              <w:rPr>
                <w:highlight w:val="none"/>
                <w:u w:val="single"/>
              </w:rPr>
              <w:t>20</w:t>
            </w:r>
            <w:r>
              <w:rPr>
                <w:rFonts w:hint="eastAsia"/>
                <w:highlight w:val="none"/>
                <w:u w:val="single"/>
                <w:lang w:val="en-US" w:eastAsia="zh-CN"/>
              </w:rPr>
              <w:t>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5</w:t>
            </w:r>
            <w:r>
              <w:rPr>
                <w:rFonts w:hint="eastAsia"/>
                <w:highlight w:val="none"/>
              </w:rPr>
              <w:t>月</w:t>
            </w:r>
            <w:r>
              <w:rPr>
                <w:rFonts w:hint="eastAsia"/>
                <w:highlight w:val="none"/>
                <w:u w:val="single"/>
              </w:rPr>
              <w:t xml:space="preserve"> </w:t>
            </w:r>
            <w:r>
              <w:rPr>
                <w:rFonts w:hint="eastAsia"/>
                <w:highlight w:val="none"/>
                <w:u w:val="single"/>
                <w:lang w:val="en-US" w:eastAsia="zh-CN"/>
              </w:rPr>
              <w:t>18</w:t>
            </w:r>
            <w:r>
              <w:rPr>
                <w:rFonts w:hint="eastAsia"/>
                <w:highlight w:val="none"/>
                <w:u w:val="single"/>
              </w:rPr>
              <w:t xml:space="preserve"> </w:t>
            </w:r>
            <w:r>
              <w:rPr>
                <w:rFonts w:hint="eastAsia"/>
                <w:highlight w:val="none"/>
              </w:rPr>
              <w:t>日，进行了</w:t>
            </w:r>
            <w:r>
              <w:rPr>
                <w:highlight w:val="none"/>
              </w:rPr>
              <w:t>可追溯性体系的有效性</w:t>
            </w:r>
            <w:r>
              <w:rPr>
                <w:rFonts w:hint="eastAsia"/>
                <w:highlight w:val="none"/>
              </w:rPr>
              <w:t>的演练</w:t>
            </w:r>
            <w:r>
              <w:rPr>
                <w:highlight w:val="none"/>
              </w:rPr>
              <w:t>。</w:t>
            </w:r>
            <w:r>
              <w:rPr>
                <w:rFonts w:hint="eastAsia"/>
                <w:highlight w:val="none"/>
              </w:rPr>
              <w:t>（</w:t>
            </w:r>
            <w:r>
              <w:rPr>
                <w:highlight w:val="none"/>
              </w:rPr>
              <w:t>模</w:t>
            </w:r>
            <w:r>
              <w:rPr>
                <w:rFonts w:hint="eastAsia"/>
                <w:highlight w:val="none"/>
              </w:rPr>
              <w:t>拟召</w:t>
            </w:r>
            <w:r>
              <w:rPr>
                <w:highlight w:val="none"/>
              </w:rPr>
              <w:t>回演</w:t>
            </w:r>
            <w:r>
              <w:rPr>
                <w:rFonts w:hint="eastAsia"/>
                <w:highlight w:val="none"/>
              </w:rPr>
              <w:t>练</w:t>
            </w:r>
            <w:r>
              <w:rPr>
                <w:highlight w:val="none"/>
              </w:rPr>
              <w:t>）</w:t>
            </w:r>
          </w:p>
          <w:p>
            <w:pPr>
              <w:shd w:val="clear" w:color="auto"/>
              <w:jc w:val="left"/>
            </w:pPr>
            <w:r>
              <w:rPr>
                <w:rFonts w:hint="eastAsia"/>
              </w:rPr>
              <w:t>组织在生产和服务提供的整个过程中对产品和监视和测量状态进行标识和追溯。</w:t>
            </w:r>
          </w:p>
          <w:p>
            <w:pPr>
              <w:shd w:val="clear" w:color="auto"/>
              <w:jc w:val="left"/>
            </w:pPr>
            <w:r>
              <w:rPr>
                <w:rFonts w:hint="eastAsia"/>
              </w:rPr>
              <w:t xml:space="preserve">采用的标识方式：☑标签 </w:t>
            </w:r>
            <w:r>
              <w:rPr>
                <w:rFonts w:hint="eastAsia"/>
                <w:lang w:eastAsia="zh-CN"/>
              </w:rPr>
              <w:t>□</w:t>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rPr>
                <w:b/>
                <w:bCs/>
                <w:highlight w:val="none"/>
              </w:rPr>
            </w:pPr>
            <w:r>
              <w:rPr>
                <w:rFonts w:hint="eastAsia"/>
                <w:b/>
                <w:bCs/>
                <w:highlight w:val="none"/>
              </w:rPr>
              <w:t>应急准备和响应</w:t>
            </w:r>
          </w:p>
          <w:p>
            <w:pPr>
              <w:shd w:val="clear"/>
              <w:rPr>
                <w:highlight w:val="none"/>
              </w:rPr>
            </w:pPr>
            <w:r>
              <w:rPr>
                <w:rFonts w:hint="eastAsia"/>
                <w:highlight w:val="none"/>
              </w:rPr>
              <w:t xml:space="preserve">组织识别了食品安全的潜在紧急情况和事故及应急准备并做出响应所需的过程。对实际发生的紧急情况做出响应；以预防或减轻它所带来的食品安全危害； </w:t>
            </w:r>
          </w:p>
          <w:p>
            <w:pPr>
              <w:shd w:val="clear"/>
              <w:rPr>
                <w:highlight w:val="none"/>
              </w:rPr>
            </w:pPr>
            <w:r>
              <w:rPr>
                <w:rFonts w:hint="eastAsia"/>
                <w:highlight w:val="none"/>
              </w:rPr>
              <w:t>制订的《应急预案》包括：</w:t>
            </w:r>
          </w:p>
          <w:p>
            <w:pPr>
              <w:shd w:val="clear"/>
              <w:rPr>
                <w:highlight w:val="none"/>
              </w:rPr>
            </w:pPr>
            <w:r>
              <w:rPr>
                <w:rFonts w:hint="eastAsia"/>
                <w:highlight w:val="none"/>
              </w:rPr>
              <w:sym w:font="Wingdings" w:char="00FE"/>
            </w:r>
            <w:r>
              <w:rPr>
                <w:rFonts w:hint="eastAsia"/>
                <w:highlight w:val="none"/>
              </w:rPr>
              <w:t xml:space="preserve">停水 </w:t>
            </w:r>
            <w:r>
              <w:rPr>
                <w:rFonts w:hint="eastAsia"/>
                <w:highlight w:val="none"/>
              </w:rPr>
              <w:sym w:font="Wingdings" w:char="00FE"/>
            </w:r>
            <w:r>
              <w:rPr>
                <w:rFonts w:hint="eastAsia"/>
                <w:highlight w:val="none"/>
              </w:rPr>
              <w:t xml:space="preserve">停电 </w:t>
            </w:r>
            <w:r>
              <w:rPr>
                <w:rFonts w:hint="eastAsia"/>
                <w:highlight w:val="none"/>
              </w:rPr>
              <w:sym w:font="Wingdings" w:char="00FE"/>
            </w:r>
            <w:r>
              <w:rPr>
                <w:rFonts w:hint="eastAsia"/>
                <w:highlight w:val="none"/>
              </w:rPr>
              <w:t xml:space="preserve">制冷骤停 </w:t>
            </w:r>
            <w:r>
              <w:rPr>
                <w:rFonts w:hint="eastAsia"/>
                <w:highlight w:val="none"/>
              </w:rPr>
              <w:sym w:font="Wingdings" w:char="00FE"/>
            </w:r>
            <w:r>
              <w:rPr>
                <w:rFonts w:hint="eastAsia"/>
                <w:highlight w:val="none"/>
              </w:rPr>
              <w:t xml:space="preserve">锅炉爆炸（停汽） </w:t>
            </w:r>
            <w:r>
              <w:rPr>
                <w:rFonts w:hint="eastAsia"/>
                <w:highlight w:val="none"/>
              </w:rPr>
              <w:sym w:font="Wingdings" w:char="00FE"/>
            </w:r>
            <w:r>
              <w:rPr>
                <w:rFonts w:hint="eastAsia"/>
                <w:highlight w:val="none"/>
              </w:rPr>
              <w:t xml:space="preserve">设备故障 ☑火灾 </w:t>
            </w:r>
            <w:r>
              <w:rPr>
                <w:rFonts w:hint="eastAsia"/>
                <w:highlight w:val="none"/>
              </w:rPr>
              <w:sym w:font="Wingdings" w:char="00FE"/>
            </w:r>
            <w:r>
              <w:rPr>
                <w:rFonts w:hint="eastAsia"/>
                <w:highlight w:val="none"/>
              </w:rPr>
              <w:t xml:space="preserve">危化品泄露 </w:t>
            </w:r>
          </w:p>
          <w:p>
            <w:pPr>
              <w:shd w:val="clear"/>
              <w:rPr>
                <w:highlight w:val="none"/>
              </w:rPr>
            </w:pPr>
            <w:r>
              <w:rPr>
                <w:rFonts w:hint="eastAsia"/>
                <w:highlight w:val="none"/>
              </w:rPr>
              <w:sym w:font="Wingdings" w:char="00FE"/>
            </w:r>
            <w:r>
              <w:rPr>
                <w:rFonts w:hint="eastAsia"/>
                <w:highlight w:val="none"/>
              </w:rPr>
              <w:t>自然灾害、</w:t>
            </w:r>
            <w:r>
              <w:rPr>
                <w:rFonts w:hint="eastAsia"/>
                <w:highlight w:val="none"/>
              </w:rPr>
              <w:sym w:font="Wingdings" w:char="00FE"/>
            </w:r>
            <w:r>
              <w:rPr>
                <w:rFonts w:hint="eastAsia"/>
                <w:highlight w:val="none"/>
              </w:rPr>
              <w:t>环境事故、</w:t>
            </w:r>
            <w:r>
              <w:rPr>
                <w:rFonts w:hint="eastAsia"/>
                <w:highlight w:val="none"/>
              </w:rPr>
              <w:sym w:font="Wingdings" w:char="00A8"/>
            </w:r>
            <w:r>
              <w:rPr>
                <w:rFonts w:hint="eastAsia"/>
                <w:highlight w:val="none"/>
              </w:rPr>
              <w:t>生物恐怖主义、☑工作场所事故、</w:t>
            </w:r>
            <w:r>
              <w:rPr>
                <w:rFonts w:hint="eastAsia"/>
                <w:highlight w:val="none"/>
              </w:rPr>
              <w:sym w:font="Wingdings" w:char="00FE"/>
            </w:r>
            <w:r>
              <w:rPr>
                <w:rFonts w:hint="eastAsia"/>
                <w:highlight w:val="none"/>
              </w:rPr>
              <w:t>公共卫生紧急情况</w:t>
            </w:r>
          </w:p>
          <w:p>
            <w:pPr>
              <w:shd w:val="clear"/>
              <w:rPr>
                <w:rFonts w:hint="eastAsia"/>
                <w:highlight w:val="none"/>
              </w:rPr>
            </w:pPr>
            <w:r>
              <w:rPr>
                <w:rFonts w:hint="eastAsia"/>
                <w:highlight w:val="none"/>
              </w:rPr>
              <w:sym w:font="Wingdings" w:char="00FE"/>
            </w:r>
            <w:r>
              <w:rPr>
                <w:rFonts w:hint="eastAsia"/>
                <w:highlight w:val="none"/>
                <w:lang w:val="en-US" w:eastAsia="zh-CN"/>
              </w:rPr>
              <w:t>交通</w:t>
            </w:r>
            <w:r>
              <w:rPr>
                <w:rFonts w:hint="eastAsia"/>
                <w:highlight w:val="none"/>
              </w:rPr>
              <w:t>事故</w:t>
            </w:r>
          </w:p>
          <w:p>
            <w:pPr>
              <w:pStyle w:val="8"/>
              <w:rPr>
                <w:rFonts w:hint="eastAsia"/>
                <w:highlight w:val="none"/>
              </w:rPr>
            </w:pPr>
          </w:p>
          <w:p>
            <w:pPr>
              <w:shd w:val="clear"/>
              <w:rPr>
                <w:highlight w:val="none"/>
              </w:rPr>
            </w:pPr>
            <w:r>
              <w:rPr>
                <w:rFonts w:hint="eastAsia"/>
                <w:highlight w:val="none"/>
              </w:rPr>
              <w:t xml:space="preserve">审核周期内发生过紧急情况：☑未发生 </w:t>
            </w:r>
            <w:r>
              <w:rPr>
                <w:rFonts w:hint="eastAsia"/>
                <w:highlight w:val="none"/>
              </w:rPr>
              <w:sym w:font="Wingdings" w:char="00A8"/>
            </w:r>
            <w:r>
              <w:rPr>
                <w:rFonts w:hint="eastAsia"/>
                <w:highlight w:val="none"/>
              </w:rPr>
              <w:t>已发生：</w:t>
            </w:r>
            <w:r>
              <w:rPr>
                <w:rFonts w:hint="eastAsia"/>
                <w:highlight w:val="none"/>
                <w:u w:val="single"/>
              </w:rPr>
              <w:t xml:space="preserve">                                </w:t>
            </w:r>
            <w:r>
              <w:rPr>
                <w:rFonts w:hint="eastAsia"/>
                <w:highlight w:val="none"/>
              </w:rPr>
              <w:t>。</w:t>
            </w:r>
          </w:p>
          <w:p>
            <w:pPr>
              <w:shd w:val="clear"/>
              <w:rPr>
                <w:highlight w:val="yellow"/>
              </w:rPr>
            </w:pPr>
          </w:p>
          <w:p>
            <w:pPr>
              <w:shd w:val="clear"/>
              <w:rPr>
                <w:highlight w:val="none"/>
              </w:rPr>
            </w:pPr>
            <w:r>
              <w:rPr>
                <w:rFonts w:hint="eastAsia"/>
                <w:highlight w:val="none"/>
              </w:rPr>
              <w:t>于</w:t>
            </w:r>
            <w:r>
              <w:rPr>
                <w:rFonts w:hint="eastAsia"/>
                <w:highlight w:val="none"/>
                <w:u w:val="single"/>
              </w:rPr>
              <w:t xml:space="preserve">   </w:t>
            </w:r>
            <w:r>
              <w:rPr>
                <w:highlight w:val="none"/>
                <w:u w:val="single"/>
              </w:rPr>
              <w:t>20</w:t>
            </w:r>
            <w:r>
              <w:rPr>
                <w:rFonts w:hint="eastAsia"/>
                <w:highlight w:val="none"/>
                <w:u w:val="single"/>
                <w:lang w:val="en-US" w:eastAsia="zh-CN"/>
              </w:rPr>
              <w:t>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6</w:t>
            </w:r>
            <w:r>
              <w:rPr>
                <w:rFonts w:hint="eastAsia"/>
                <w:highlight w:val="none"/>
                <w:u w:val="single"/>
              </w:rPr>
              <w:t xml:space="preserve"> </w:t>
            </w:r>
            <w:r>
              <w:rPr>
                <w:rFonts w:hint="eastAsia"/>
                <w:highlight w:val="none"/>
              </w:rPr>
              <w:t>月</w:t>
            </w:r>
            <w:r>
              <w:rPr>
                <w:rFonts w:hint="eastAsia"/>
                <w:highlight w:val="none"/>
                <w:u w:val="single"/>
                <w:lang w:val="en-US" w:eastAsia="zh-CN"/>
              </w:rPr>
              <w:t>28</w:t>
            </w:r>
            <w:r>
              <w:rPr>
                <w:rFonts w:hint="eastAsia"/>
                <w:highlight w:val="none"/>
                <w:u w:val="single"/>
              </w:rPr>
              <w:t xml:space="preserve"> </w:t>
            </w:r>
            <w:r>
              <w:rPr>
                <w:rFonts w:hint="eastAsia"/>
                <w:highlight w:val="none"/>
              </w:rPr>
              <w:t>日进行了</w:t>
            </w:r>
            <w:r>
              <w:rPr>
                <w:rFonts w:hint="eastAsia"/>
                <w:highlight w:val="none"/>
                <w:u w:val="single"/>
              </w:rPr>
              <w:t xml:space="preserve">  </w:t>
            </w:r>
            <w:r>
              <w:rPr>
                <w:rFonts w:hint="eastAsia"/>
                <w:highlight w:val="none"/>
                <w:u w:val="single"/>
                <w:lang w:val="en-US" w:eastAsia="zh-CN"/>
              </w:rPr>
              <w:t>消防应急</w:t>
            </w:r>
            <w:r>
              <w:rPr>
                <w:rFonts w:hint="eastAsia"/>
                <w:highlight w:val="none"/>
                <w:u w:val="single"/>
              </w:rPr>
              <w:t xml:space="preserve"> </w:t>
            </w:r>
            <w:r>
              <w:rPr>
                <w:rFonts w:hint="eastAsia"/>
                <w:color w:val="0000FF"/>
                <w:highlight w:val="none"/>
                <w:u w:val="single"/>
                <w:lang w:val="en-US" w:eastAsia="zh-CN"/>
              </w:rPr>
              <w:t xml:space="preserve"> </w:t>
            </w:r>
            <w:r>
              <w:rPr>
                <w:rFonts w:hint="eastAsia"/>
                <w:highlight w:val="none"/>
                <w:u w:val="single"/>
              </w:rPr>
              <w:t xml:space="preserve">  </w:t>
            </w:r>
            <w:r>
              <w:rPr>
                <w:rFonts w:hint="eastAsia"/>
                <w:highlight w:val="none"/>
              </w:rPr>
              <w:t xml:space="preserve">的演练；并总结了预案的可行性和有效性。 </w:t>
            </w:r>
          </w:p>
          <w:p>
            <w:pPr>
              <w:shd w:val="clear"/>
              <w:rPr>
                <w:highlight w:val="none"/>
              </w:rPr>
            </w:pPr>
            <w:r>
              <w:rPr>
                <w:rFonts w:hint="eastAsia"/>
                <w:highlight w:val="none"/>
              </w:rPr>
              <w:t xml:space="preserve">定期评审并修订过程和策划的响应措施，特别是发生紧急情况后或进行试验后； </w:t>
            </w:r>
          </w:p>
          <w:p>
            <w:pPr>
              <w:shd w:val="clear"/>
              <w:rPr>
                <w:highlight w:val="none"/>
              </w:rPr>
            </w:pPr>
          </w:p>
          <w:p>
            <w:pPr>
              <w:shd w:val="clear" w:color="auto"/>
            </w:pPr>
            <w:r>
              <w:rPr>
                <w:rFonts w:hint="eastAsia"/>
                <w:highlight w:val="none"/>
              </w:rPr>
              <w:t xml:space="preserve">应急准备和响应控制：☑符合要求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rPr>
                <w:rFonts w:hint="eastAsia" w:eastAsia="宋体"/>
                <w:lang w:val="en-US" w:eastAsia="zh-CN"/>
              </w:rPr>
            </w:pPr>
            <w:r>
              <w:rPr>
                <w:rFonts w:hint="eastAsia"/>
              </w:rPr>
              <w:sym w:font="Wingdings" w:char="00FE"/>
            </w:r>
            <w:r>
              <w:rPr>
                <w:rFonts w:hint="eastAsia"/>
              </w:rPr>
              <w:t xml:space="preserve"> 其他</w:t>
            </w:r>
            <w:r>
              <w:rPr>
                <w:rFonts w:hint="eastAsia"/>
                <w:lang w:val="en-US" w:eastAsia="zh-CN"/>
              </w:rPr>
              <w:t>客户需求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rPr>
                <w:b/>
                <w:bCs/>
              </w:rPr>
            </w:pPr>
            <w:r>
              <w:rPr>
                <w:rFonts w:hint="eastAsia"/>
                <w:b/>
                <w:bCs/>
              </w:rPr>
              <w:t>原材料产品描述</w:t>
            </w:r>
          </w:p>
          <w:p>
            <w:pPr>
              <w:shd w:val="clear"/>
            </w:pP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3"/>
              </w:numPr>
              <w:shd w:val="clear"/>
              <w:rPr>
                <w:rFonts w:hint="eastAsia" w:eastAsia="宋体"/>
                <w:lang w:eastAsia="zh-CN"/>
              </w:rPr>
            </w:pPr>
            <w:r>
              <w:rPr>
                <w:rFonts w:hint="eastAsia"/>
                <w:lang w:val="en-US" w:eastAsia="zh-CN"/>
              </w:rPr>
              <w:t>生猪</w:t>
            </w:r>
          </w:p>
          <w:p>
            <w:pPr>
              <w:numPr>
                <w:ilvl w:val="0"/>
                <w:numId w:val="3"/>
              </w:numPr>
              <w:shd w:val="clear"/>
              <w:rPr>
                <w:rFonts w:hint="eastAsia" w:eastAsia="宋体"/>
                <w:lang w:eastAsia="zh-CN"/>
              </w:rPr>
            </w:pPr>
            <w:r>
              <w:rPr>
                <w:rFonts w:hint="eastAsia"/>
                <w:lang w:val="en-US" w:eastAsia="zh-CN"/>
              </w:rPr>
              <w:t>加工用水</w:t>
            </w:r>
          </w:p>
          <w:p>
            <w:pPr>
              <w:numPr>
                <w:ilvl w:val="0"/>
                <w:numId w:val="3"/>
              </w:numPr>
              <w:shd w:val="clear"/>
              <w:rPr>
                <w:rFonts w:hint="eastAsia" w:eastAsia="宋体"/>
                <w:lang w:eastAsia="zh-CN"/>
              </w:rPr>
            </w:pPr>
            <w:r>
              <w:rPr>
                <w:rFonts w:hint="eastAsia"/>
                <w:lang w:val="en-US" w:eastAsia="zh-CN"/>
              </w:rPr>
              <w:t>甲紫</w:t>
            </w:r>
            <w:r>
              <w:rPr>
                <w:rFonts w:hint="eastAsia" w:eastAsia="宋体"/>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pPr>
            <w:r>
              <w:rPr>
                <w:rFonts w:hint="eastAsia"/>
              </w:rPr>
              <w:t>终产品描述</w:t>
            </w:r>
          </w:p>
          <w:p>
            <w:pPr>
              <w:shd w:val="clear"/>
            </w:pPr>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3"/>
              </w:numPr>
              <w:shd w:val="clea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猪酮体及内脏等</w:t>
            </w:r>
          </w:p>
          <w:p>
            <w:pPr>
              <w:pStyle w:val="8"/>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autoSpaceDE w:val="0"/>
              <w:autoSpaceDN w:val="0"/>
              <w:adjustRightInd w:val="0"/>
              <w:rPr>
                <w:b/>
                <w:bCs/>
              </w:rPr>
            </w:pPr>
            <w:r>
              <w:rPr>
                <w:rFonts w:hint="eastAsia"/>
                <w:b/>
                <w:bCs/>
              </w:rPr>
              <w:t>预期用途</w:t>
            </w:r>
          </w:p>
          <w:p>
            <w:pPr>
              <w:shd w:val="clea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color w:val="0000FF"/>
                <w:u w:val="single"/>
                <w:lang w:val="en-US" w:eastAsia="zh-CN"/>
              </w:rPr>
              <w:t xml:space="preserve">普通大众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无</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4"/>
              </w:numPr>
              <w:shd w:val="clear"/>
              <w:spacing w:before="40" w:after="40"/>
            </w:pPr>
            <w:r>
              <w:t>工艺流程图包括</w:t>
            </w:r>
            <w:r>
              <w:rPr>
                <w:rFonts w:hint="eastAsia"/>
              </w:rPr>
              <w:t>了</w:t>
            </w:r>
            <w:r>
              <w:t>：</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pPr>
            <w:r>
              <w:t>b） 任何外包过程；</w:t>
            </w:r>
            <w:r>
              <w:rPr>
                <w:rFonts w:hint="eastAsia"/>
                <w:lang w:eastAsia="zh-CN"/>
              </w:rPr>
              <w:t>（</w:t>
            </w:r>
            <w:r>
              <w:rPr>
                <w:rFonts w:hint="eastAsia"/>
                <w:lang w:val="en-US" w:eastAsia="zh-CN"/>
              </w:rPr>
              <w:t>不适用</w:t>
            </w:r>
            <w:r>
              <w:rPr>
                <w:rFonts w:hint="eastAsia"/>
                <w:lang w:eastAsia="zh-CN"/>
              </w:rPr>
              <w:t>）</w:t>
            </w:r>
          </w:p>
          <w:p>
            <w:pPr>
              <w:shd w:val="clear" w:color="auto"/>
            </w:pPr>
            <w:r>
              <w:t>c） 原材料、辅料、加工助剂、包装材料、公用工程和和中间产品投入点；</w:t>
            </w:r>
          </w:p>
          <w:p>
            <w:pPr>
              <w:shd w:val="clear"/>
            </w:pPr>
            <w:r>
              <w:t>d） 返工点和循环点；</w:t>
            </w:r>
            <w:r>
              <w:rPr>
                <w:rFonts w:hint="eastAsia"/>
                <w:lang w:eastAsia="zh-CN"/>
              </w:rPr>
              <w:t>（</w:t>
            </w:r>
            <w:r>
              <w:rPr>
                <w:rFonts w:hint="eastAsia"/>
                <w:lang w:val="en-US" w:eastAsia="zh-CN"/>
              </w:rPr>
              <w:t>不适用</w:t>
            </w:r>
            <w:r>
              <w:rPr>
                <w:rFonts w:hint="eastAsia"/>
                <w:lang w:eastAsia="zh-CN"/>
              </w:rPr>
              <w:t>）</w:t>
            </w:r>
          </w:p>
          <w:p>
            <w:pPr>
              <w:shd w:val="clear" w:color="auto"/>
            </w:pPr>
            <w:r>
              <w:t>e） 成品、 中间产品和副产品放行点及废弃物的排放点</w:t>
            </w:r>
          </w:p>
          <w:p>
            <w:pPr>
              <w:widowControl/>
              <w:numPr>
                <w:ilvl w:val="0"/>
                <w:numId w:val="4"/>
              </w:numPr>
              <w:shd w:val="clear"/>
              <w:autoSpaceDE w:val="0"/>
              <w:autoSpaceDN w:val="0"/>
              <w:adjustRightInd w:val="0"/>
              <w:rPr>
                <w:b/>
              </w:rPr>
            </w:pPr>
            <w:r>
              <w:t>工厂位置图</w:t>
            </w:r>
          </w:p>
          <w:p>
            <w:pPr>
              <w:widowControl/>
              <w:numPr>
                <w:ilvl w:val="0"/>
                <w:numId w:val="4"/>
              </w:numPr>
              <w:shd w:val="clear"/>
              <w:autoSpaceDE w:val="0"/>
              <w:autoSpaceDN w:val="0"/>
              <w:adjustRightInd w:val="0"/>
            </w:pPr>
            <w:r>
              <w:t>厂区平面图</w:t>
            </w:r>
          </w:p>
          <w:p>
            <w:pPr>
              <w:widowControl/>
              <w:numPr>
                <w:ilvl w:val="0"/>
                <w:numId w:val="4"/>
              </w:numPr>
              <w:shd w:val="clea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4"/>
              </w:numPr>
              <w:shd w:val="clear"/>
              <w:autoSpaceDE w:val="0"/>
              <w:autoSpaceDN w:val="0"/>
              <w:adjustRightInd w:val="0"/>
              <w:rPr>
                <w:b/>
              </w:rPr>
            </w:pPr>
            <w:r>
              <w:t>人流</w:t>
            </w:r>
            <w:r>
              <w:rPr>
                <w:rFonts w:hint="eastAsia"/>
              </w:rPr>
              <w:t>、</w:t>
            </w:r>
            <w:r>
              <w:t>物流</w:t>
            </w:r>
          </w:p>
          <w:p>
            <w:pPr>
              <w:widowControl/>
              <w:numPr>
                <w:ilvl w:val="0"/>
                <w:numId w:val="4"/>
              </w:numPr>
              <w:shd w:val="clear"/>
              <w:autoSpaceDE w:val="0"/>
              <w:autoSpaceDN w:val="0"/>
              <w:adjustRightInd w:val="0"/>
              <w:rPr>
                <w:b/>
              </w:rPr>
            </w:pPr>
            <w:r>
              <w:t>防虫害分布图</w:t>
            </w:r>
          </w:p>
          <w:p>
            <w:pPr>
              <w:widowControl/>
              <w:numPr>
                <w:ilvl w:val="0"/>
                <w:numId w:val="4"/>
              </w:numPr>
              <w:shd w:val="clear"/>
              <w:autoSpaceDE w:val="0"/>
              <w:autoSpaceDN w:val="0"/>
              <w:adjustRightInd w:val="0"/>
              <w:rPr>
                <w:bCs/>
              </w:rPr>
            </w:pPr>
            <w:r>
              <w:rPr>
                <w:rFonts w:hint="eastAsia"/>
                <w:bCs/>
              </w:rPr>
              <w:t>其他</w:t>
            </w:r>
          </w:p>
          <w:p>
            <w:pPr>
              <w:shd w:val="clear"/>
            </w:pPr>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pPr>
          </w:p>
          <w:p>
            <w:pPr>
              <w:shd w:val="clear" w:color="auto"/>
              <w:rPr>
                <w:rFonts w:hint="default" w:eastAsia="宋体"/>
                <w:lang w:val="en-US" w:eastAsia="zh-CN"/>
              </w:rPr>
            </w:pPr>
            <w:r>
              <w:t>食品安全小组在</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rFonts w:hint="eastAsia"/>
                <w:u w:val="single"/>
                <w:lang w:val="en-US" w:eastAsia="zh-CN"/>
              </w:rPr>
              <w:t>5</w:t>
            </w:r>
            <w:r>
              <w:rPr>
                <w:rFonts w:hint="eastAsia"/>
              </w:rPr>
              <w:t>月</w:t>
            </w:r>
            <w:r>
              <w:rPr>
                <w:rFonts w:hint="eastAsia"/>
                <w:u w:val="single"/>
                <w:lang w:val="en-US" w:eastAsia="zh-CN"/>
              </w:rPr>
              <w:t>25</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autoSpaceDE w:val="0"/>
              <w:autoSpaceDN w:val="0"/>
              <w:adjustRightInd w:val="0"/>
              <w:rPr>
                <w:b/>
              </w:rPr>
            </w:pPr>
            <w:r>
              <w:rPr>
                <w:b/>
              </w:rPr>
              <w:t>危害</w:t>
            </w:r>
            <w:r>
              <w:rPr>
                <w:rFonts w:hint="eastAsia"/>
                <w:b/>
              </w:rPr>
              <w:t>评估</w:t>
            </w:r>
          </w:p>
          <w:p>
            <w:pPr>
              <w:shd w:val="clear"/>
              <w:rPr>
                <w:rFonts w:hint="default" w:eastAsia="宋体"/>
                <w:lang w:val="en-US" w:eastAsia="zh-CN"/>
              </w:rPr>
            </w:pPr>
            <w:r>
              <w:rPr>
                <w:lang w:val="en-GB"/>
              </w:rPr>
              <w:t>HACCP小组</w:t>
            </w:r>
            <w:r>
              <w:rPr>
                <w:rFonts w:hint="eastAsia"/>
              </w:rPr>
              <w:t>于</w:t>
            </w:r>
            <w:r>
              <w:rPr>
                <w:rFonts w:hint="eastAsia"/>
                <w:color w:val="0000FF"/>
                <w:szCs w:val="21"/>
                <w:u w:val="single"/>
              </w:rPr>
              <w:t xml:space="preserve">  </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r>
              <w:rPr>
                <w:rFonts w:hint="eastAsia" w:ascii="Times New Roman" w:hAnsi="Times New Roman" w:eastAsia="宋体" w:cs="Times New Roman"/>
                <w:color w:val="0000FF"/>
                <w:u w:val="single"/>
                <w:lang w:val="en-GB" w:eastAsia="zh-CN"/>
              </w:rPr>
              <w:t>——</w:t>
            </w:r>
            <w:r>
              <w:rPr>
                <w:rFonts w:hint="eastAsia" w:ascii="Times New Roman" w:hAnsi="Times New Roman" w:eastAsia="宋体" w:cs="Times New Roman"/>
                <w:color w:val="0000FF"/>
                <w:u w:val="single"/>
                <w:lang w:val="en-US" w:eastAsia="zh-CN"/>
              </w:rPr>
              <w:t>审核周期内未发生变化</w:t>
            </w:r>
          </w:p>
          <w:p>
            <w:pPr>
              <w:shd w:val="clea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pPr>
            <w:r>
              <w:rPr>
                <w:lang w:val="en-GB"/>
              </w:rPr>
              <w:t>显著危害</w:t>
            </w:r>
            <w:r>
              <w:rPr>
                <w:rFonts w:hint="eastAsia"/>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A8"/>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A8"/>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A8"/>
            </w:r>
            <w:r>
              <w:rPr>
                <w:rFonts w:hint="eastAsia"/>
              </w:rPr>
              <w:t xml:space="preserve"> </w:t>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A8"/>
            </w:r>
            <w:r>
              <w:rPr>
                <w:rFonts w:hint="eastAsia"/>
              </w:rPr>
              <w:t xml:space="preserve">酸价   </w:t>
            </w:r>
            <w:r>
              <w:rPr>
                <w:rFonts w:hint="eastAsia"/>
              </w:rPr>
              <w:sym w:font="Wingdings" w:char="00A8"/>
            </w:r>
            <w:r>
              <w:rPr>
                <w:rFonts w:hint="eastAsia"/>
              </w:rPr>
              <w:t>过氧化值</w:t>
            </w:r>
          </w:p>
          <w:p>
            <w:r>
              <w:rPr>
                <w:rFonts w:hint="eastAsia"/>
              </w:rPr>
              <w:t>生物危害：</w:t>
            </w:r>
            <w:r>
              <w:rPr>
                <w:rFonts w:hint="eastAsia"/>
              </w:rPr>
              <w:sym w:font="Wingdings" w:char="00A8"/>
            </w:r>
            <w:r>
              <w:rPr>
                <w:rFonts w:hint="eastAsia"/>
              </w:rPr>
              <w:t xml:space="preserve">大肠杆菌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A8"/>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w:t>
            </w:r>
            <w:r>
              <w:rPr>
                <w:rFonts w:hint="eastAsia"/>
                <w:sz w:val="20"/>
              </w:rPr>
              <w:t>猪瘟病毒</w:t>
            </w:r>
            <w:r>
              <w:rPr>
                <w:rFonts w:hint="eastAsia"/>
              </w:rPr>
              <w:t>）</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A8"/>
            </w:r>
            <w:r>
              <w:rPr>
                <w:rFonts w:hint="eastAsia"/>
              </w:rPr>
              <w:t xml:space="preserve">玻璃渣  </w:t>
            </w:r>
            <w:r>
              <w:rPr>
                <w:rFonts w:hint="eastAsia"/>
              </w:rPr>
              <w:sym w:font="Wingdings" w:char="00A8"/>
            </w:r>
            <w:r>
              <w:rPr>
                <w:rFonts w:hint="eastAsia"/>
              </w:rPr>
              <w:t xml:space="preserve">碎石  </w:t>
            </w:r>
            <w:r>
              <w:rPr>
                <w:rFonts w:hint="eastAsia"/>
              </w:rPr>
              <w:sym w:font="Wingdings" w:char="00A8"/>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针头）</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b/>
                <w:bCs/>
              </w:rPr>
              <w:t>控制措施的选择和分类</w:t>
            </w:r>
          </w:p>
          <w:p>
            <w:pPr>
              <w:shd w:val="clear" w:color="auto"/>
            </w:pPr>
            <w:r>
              <w:t>组织在危害评价的基础上，选择适当的控制措施或控制措施的组合，以防止或将已识别的显著食品安全危害降低到规定的可接受水平。</w:t>
            </w:r>
          </w:p>
          <w:p>
            <w:pPr>
              <w:shd w:val="clear" w:color="auto"/>
            </w:pPr>
            <w:r>
              <w:t>组织将选定的识别控制措施分类为OPRP（见3.30）或CCPs。</w:t>
            </w:r>
          </w:p>
          <w:p>
            <w:pPr>
              <w:shd w:val="clear"/>
              <w:tabs>
                <w:tab w:val="right" w:pos="3119"/>
              </w:tabs>
              <w:rPr>
                <w:b/>
              </w:rPr>
            </w:pPr>
            <w:r>
              <w:rPr>
                <w:rFonts w:hint="eastAsia"/>
                <w:b/>
              </w:rPr>
              <w:t>最终产品危害分析：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shd w:val="clear"/>
                    <w:jc w:val="center"/>
                    <w:rPr>
                      <w:b/>
                      <w:color w:val="0000FF"/>
                      <w:lang w:val="en-GB"/>
                    </w:rPr>
                  </w:pPr>
                  <w:r>
                    <w:rPr>
                      <w:rFonts w:hint="eastAsia"/>
                      <w:b/>
                      <w:color w:val="0000FF"/>
                      <w:lang w:val="en-GB"/>
                    </w:rPr>
                    <w:t>产品</w:t>
                  </w:r>
                </w:p>
              </w:tc>
              <w:tc>
                <w:tcPr>
                  <w:tcW w:w="2873" w:type="dxa"/>
                  <w:shd w:val="clear" w:color="auto" w:fill="auto"/>
                  <w:vAlign w:val="bottom"/>
                </w:tcPr>
                <w:p>
                  <w:pPr>
                    <w:shd w:val="clear"/>
                    <w:jc w:val="center"/>
                    <w:rPr>
                      <w:b/>
                      <w:color w:val="0000FF"/>
                      <w:lang w:val="en-GB"/>
                    </w:rPr>
                  </w:pPr>
                  <w:r>
                    <w:rPr>
                      <w:rFonts w:hint="eastAsia"/>
                      <w:b/>
                      <w:color w:val="0000FF"/>
                      <w:lang w:val="en-GB"/>
                    </w:rPr>
                    <w:t>潜在危害</w:t>
                  </w:r>
                </w:p>
              </w:tc>
              <w:tc>
                <w:tcPr>
                  <w:tcW w:w="3184" w:type="dxa"/>
                  <w:shd w:val="clear" w:color="auto" w:fill="auto"/>
                </w:tcPr>
                <w:p>
                  <w:pPr>
                    <w:shd w:val="clea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rFonts w:hint="eastAsia"/>
                      <w:color w:val="000000"/>
                      <w:szCs w:val="21"/>
                    </w:rPr>
                    <w:t>猪酮体及内脏等</w:t>
                  </w:r>
                </w:p>
              </w:tc>
              <w:tc>
                <w:tcPr>
                  <w:tcW w:w="2873" w:type="dxa"/>
                  <w:shd w:val="clear" w:color="auto" w:fill="auto"/>
                  <w:vAlign w:val="center"/>
                </w:tcPr>
                <w:p>
                  <w:pPr>
                    <w:jc w:val="cente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bCs/>
                    </w:rPr>
                    <w:sym w:font="Wingdings" w:char="00A8"/>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FE"/>
                  </w:r>
                  <w:r>
                    <w:rPr>
                      <w:rFonts w:hint="eastAsia"/>
                      <w:bCs/>
                    </w:rPr>
                    <w:t>兽</w:t>
                  </w:r>
                  <w:r>
                    <w:rPr>
                      <w:rFonts w:hint="eastAsia"/>
                      <w:bCs/>
                      <w:lang w:val="en-GB"/>
                    </w:rPr>
                    <w:t>药残留</w:t>
                  </w:r>
                </w:p>
                <w:p>
                  <w:pPr>
                    <w:jc w:val="center"/>
                    <w:rPr>
                      <w:rFonts w:hint="default" w:ascii="Times New Roman" w:hAnsi="Times New Roman" w:eastAsia="宋体" w:cs="Times New Roman"/>
                      <w:bCs/>
                      <w:kern w:val="2"/>
                      <w:sz w:val="21"/>
                      <w:szCs w:val="24"/>
                      <w:lang w:val="en-GB" w:eastAsia="zh-CN" w:bidi="ar-SA"/>
                    </w:rPr>
                  </w:pPr>
                </w:p>
              </w:tc>
              <w:tc>
                <w:tcPr>
                  <w:tcW w:w="3184" w:type="dxa"/>
                  <w:shd w:val="clear" w:color="auto" w:fill="auto"/>
                  <w:vAlign w:val="center"/>
                </w:tcPr>
                <w:p>
                  <w:pPr>
                    <w:jc w:val="center"/>
                    <w:rPr>
                      <w:bCs/>
                    </w:rPr>
                  </w:pPr>
                  <w:r>
                    <w:rPr>
                      <w:rFonts w:hint="eastAsia"/>
                    </w:rPr>
                    <w:sym w:font="Wingdings" w:char="00FE"/>
                  </w:r>
                  <w:r>
                    <w:rPr>
                      <w:bCs/>
                    </w:rPr>
                    <w:t>OPRP</w:t>
                  </w:r>
                </w:p>
                <w:p>
                  <w:pPr>
                    <w:jc w:val="center"/>
                    <w:rPr>
                      <w:bCs/>
                    </w:rPr>
                  </w:pPr>
                  <w:r>
                    <w:rPr>
                      <w:rFonts w:hint="eastAsia"/>
                    </w:rPr>
                    <w:sym w:font="Wingdings" w:char="00FE"/>
                  </w:r>
                  <w:r>
                    <w:rPr>
                      <w:bCs/>
                    </w:rPr>
                    <w:t>CCPs</w:t>
                  </w:r>
                </w:p>
                <w:p>
                  <w:pPr>
                    <w:jc w:val="center"/>
                    <w:rPr>
                      <w:bCs/>
                    </w:rPr>
                  </w:pPr>
                  <w:r>
                    <w:rPr>
                      <w:rFonts w:hint="eastAsia"/>
                    </w:rPr>
                    <w:sym w:font="Wingdings" w:char="00FE"/>
                  </w:r>
                  <w:r>
                    <w:rPr>
                      <w:rFonts w:hint="eastAsia"/>
                      <w:bCs/>
                    </w:rPr>
                    <w:t>作业指导书&amp;</w:t>
                  </w:r>
                  <w:r>
                    <w:rPr>
                      <w:bCs/>
                    </w:rPr>
                    <w:t>SSOP</w:t>
                  </w:r>
                </w:p>
                <w:p>
                  <w:pP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shd w:val="clea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2873" w:type="dxa"/>
                  <w:shd w:val="clear" w:color="auto" w:fill="auto"/>
                  <w:vAlign w:val="top"/>
                </w:tcPr>
                <w:p>
                  <w:pPr>
                    <w:shd w:val="clea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3184" w:type="dxa"/>
                  <w:shd w:val="clear" w:color="auto" w:fill="auto"/>
                  <w:vAlign w:val="bottom"/>
                </w:tcPr>
                <w:p>
                  <w:pPr>
                    <w:shd w:val="clear"/>
                    <w:rPr>
                      <w:rFonts w:hint="eastAsia" w:ascii="Times New Roman" w:hAnsi="Times New Roman" w:eastAsia="宋体" w:cs="Times New Roman"/>
                      <w:b/>
                      <w:color w:val="0000FF"/>
                      <w:kern w:val="2"/>
                      <w:sz w:val="21"/>
                      <w:szCs w:val="24"/>
                      <w:highlight w:val="yellow"/>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78" w:type="dxa"/>
                  <w:shd w:val="clear" w:color="auto" w:fill="auto"/>
                  <w:vAlign w:val="top"/>
                </w:tcPr>
                <w:p>
                  <w:pPr>
                    <w:shd w:val="clear"/>
                    <w:autoSpaceDE w:val="0"/>
                    <w:autoSpaceDN w:val="0"/>
                    <w:adjustRightInd w:val="0"/>
                    <w:jc w:val="left"/>
                    <w:rPr>
                      <w:rFonts w:ascii="Times New Roman" w:hAnsi="Times New Roman" w:eastAsia="宋体" w:cs="Times New Roman"/>
                      <w:b/>
                      <w:color w:val="0000FF"/>
                      <w:kern w:val="2"/>
                      <w:sz w:val="21"/>
                      <w:szCs w:val="24"/>
                      <w:highlight w:val="yellow"/>
                      <w:lang w:val="en-GB" w:eastAsia="zh-CN" w:bidi="ar-SA"/>
                    </w:rPr>
                  </w:pPr>
                </w:p>
              </w:tc>
              <w:tc>
                <w:tcPr>
                  <w:tcW w:w="2873" w:type="dxa"/>
                  <w:shd w:val="clear" w:color="auto" w:fill="auto"/>
                  <w:vAlign w:val="top"/>
                </w:tcPr>
                <w:p>
                  <w:pPr>
                    <w:shd w:val="clea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3184" w:type="dxa"/>
                  <w:shd w:val="clear" w:color="auto" w:fill="auto"/>
                  <w:vAlign w:val="bottom"/>
                </w:tcPr>
                <w:p>
                  <w:pPr>
                    <w:shd w:val="clear"/>
                    <w:rPr>
                      <w:rFonts w:hint="eastAsia" w:ascii="Times New Roman" w:hAnsi="Times New Roman" w:eastAsia="宋体" w:cs="Times New Roman"/>
                      <w:b/>
                      <w:color w:val="0000FF"/>
                      <w:kern w:val="2"/>
                      <w:sz w:val="21"/>
                      <w:szCs w:val="24"/>
                      <w:highlight w:val="yellow"/>
                      <w:lang w:val="en-GB" w:eastAsia="zh-CN" w:bidi="ar-SA"/>
                    </w:rPr>
                  </w:pPr>
                </w:p>
              </w:tc>
            </w:tr>
          </w:tbl>
          <w:p>
            <w:pPr>
              <w:shd w:val="clear"/>
              <w:tabs>
                <w:tab w:val="right" w:pos="3119"/>
              </w:tabs>
              <w:rPr>
                <w:b/>
                <w:lang w:val="en-GB"/>
              </w:rPr>
            </w:pPr>
          </w:p>
          <w:p>
            <w:pPr>
              <w:shd w:val="clea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9"/>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rPr>
                  </w:pPr>
                  <w:r>
                    <w:rPr>
                      <w:rFonts w:hint="eastAsia"/>
                      <w:bCs/>
                    </w:rPr>
                    <w:t>主要原料名称</w:t>
                  </w:r>
                </w:p>
              </w:tc>
              <w:tc>
                <w:tcPr>
                  <w:tcW w:w="2905" w:type="dxa"/>
                  <w:shd w:val="clear" w:color="auto" w:fill="auto"/>
                  <w:vAlign w:val="center"/>
                </w:tcPr>
                <w:p>
                  <w:pPr>
                    <w:jc w:val="center"/>
                    <w:rPr>
                      <w:bCs/>
                    </w:rPr>
                  </w:pPr>
                  <w:r>
                    <w:rPr>
                      <w:rFonts w:hint="eastAsia"/>
                      <w:bCs/>
                    </w:rPr>
                    <w:t>潜在危害</w:t>
                  </w:r>
                </w:p>
              </w:tc>
              <w:tc>
                <w:tcPr>
                  <w:tcW w:w="3476" w:type="dxa"/>
                  <w:shd w:val="clear" w:color="auto" w:fill="auto"/>
                  <w:vAlign w:val="center"/>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jc w:val="center"/>
                    <w:rPr>
                      <w:rFonts w:hint="eastAsia" w:ascii="Times New Roman" w:hAnsi="Times New Roman" w:eastAsia="宋体" w:cs="Times New Roman"/>
                      <w:bCs/>
                      <w:kern w:val="2"/>
                      <w:sz w:val="21"/>
                      <w:szCs w:val="24"/>
                      <w:lang w:val="en-GB" w:eastAsia="zh-CN" w:bidi="ar-SA"/>
                    </w:rPr>
                  </w:pPr>
                  <w:r>
                    <w:rPr>
                      <w:rFonts w:hint="eastAsia"/>
                      <w:bCs/>
                    </w:rPr>
                    <w:t>生猪</w:t>
                  </w:r>
                </w:p>
              </w:tc>
              <w:tc>
                <w:tcPr>
                  <w:tcW w:w="2905" w:type="dxa"/>
                  <w:shd w:val="clear" w:color="auto" w:fill="auto"/>
                  <w:vAlign w:val="center"/>
                </w:tcPr>
                <w:p>
                  <w:pPr>
                    <w:jc w:val="cente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FE"/>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rPr>
                    <w:sym w:font="Wingdings" w:char="00FE"/>
                  </w:r>
                  <w:r>
                    <w:rPr>
                      <w:rFonts w:hint="eastAsia"/>
                      <w:bCs/>
                    </w:rPr>
                    <w:t>向供方索取检测报告（检疫合格证明）</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autoSpaceDE w:val="0"/>
                    <w:autoSpaceDN w:val="0"/>
                    <w:adjustRightInd w:val="0"/>
                    <w:jc w:val="center"/>
                    <w:rPr>
                      <w:rFonts w:ascii="Times New Roman" w:hAnsi="Times New Roman" w:eastAsia="宋体" w:cs="Times New Roman"/>
                      <w:bCs/>
                      <w:kern w:val="2"/>
                      <w:sz w:val="21"/>
                      <w:szCs w:val="24"/>
                      <w:lang w:val="en-GB" w:eastAsia="zh-CN" w:bidi="ar-SA"/>
                    </w:rPr>
                  </w:pPr>
                  <w:r>
                    <w:rPr>
                      <w:rFonts w:hint="eastAsia"/>
                      <w:bCs/>
                    </w:rPr>
                    <w:t>水</w:t>
                  </w:r>
                </w:p>
              </w:tc>
              <w:tc>
                <w:tcPr>
                  <w:tcW w:w="2905" w:type="dxa"/>
                  <w:shd w:val="clear" w:color="auto" w:fill="auto"/>
                  <w:vAlign w:val="center"/>
                </w:tcPr>
                <w:p>
                  <w:pP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bCs/>
                    </w:rPr>
                    <w:sym w:font="Wingdings" w:char="00A8"/>
                  </w:r>
                  <w:r>
                    <w:rPr>
                      <w:rFonts w:hint="eastAsia"/>
                      <w:bCs/>
                    </w:rPr>
                    <w:t>向供方索取检测报告</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rFonts w:ascii="Times New Roman" w:hAnsi="Times New Roman" w:eastAsia="宋体" w:cs="Times New Roman"/>
                      <w:bCs/>
                      <w:kern w:val="2"/>
                      <w:sz w:val="21"/>
                      <w:szCs w:val="24"/>
                      <w:lang w:val="en-US" w:eastAsia="zh-CN" w:bidi="ar-SA"/>
                    </w:rPr>
                  </w:pPr>
                  <w:r>
                    <w:rPr>
                      <w:rFonts w:hint="eastAsia"/>
                    </w:rPr>
                    <w:sym w:font="Wingdings" w:char="00FE"/>
                  </w:r>
                  <w:r>
                    <w:rPr>
                      <w:rFonts w:hint="eastAsia"/>
                      <w:bCs/>
                    </w:rPr>
                    <w:t xml:space="preserve">第三方检测报告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rFonts w:hint="default" w:ascii="Times New Roman" w:hAnsi="Times New Roman" w:eastAsia="宋体" w:cs="Times New Roman"/>
                      <w:bCs/>
                      <w:kern w:val="2"/>
                      <w:sz w:val="21"/>
                      <w:szCs w:val="24"/>
                      <w:lang w:val="en-US" w:eastAsia="zh-CN" w:bidi="ar-SA"/>
                    </w:rPr>
                  </w:pPr>
                  <w:r>
                    <w:rPr>
                      <w:rFonts w:hint="eastAsia"/>
                      <w:bCs/>
                      <w:lang w:val="en-US" w:eastAsia="zh-CN"/>
                    </w:rPr>
                    <w:t>胭脂红、菌毒涤 等</w:t>
                  </w:r>
                </w:p>
              </w:tc>
              <w:tc>
                <w:tcPr>
                  <w:tcW w:w="2905" w:type="dxa"/>
                  <w:shd w:val="clear" w:color="auto" w:fill="auto"/>
                  <w:vAlign w:val="center"/>
                </w:tcPr>
                <w:p>
                  <w:pPr>
                    <w:jc w:val="cente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bCs/>
                    </w:rPr>
                    <w:sym w:font="Wingdings" w:char="00FE"/>
                  </w:r>
                  <w:r>
                    <w:rPr>
                      <w:rFonts w:hint="eastAsia"/>
                      <w:bCs/>
                    </w:rPr>
                    <w:t>向供方索取检测报告</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rFonts w:hint="eastAsia" w:ascii="Times New Roman" w:hAnsi="Times New Roman" w:eastAsia="宋体" w:cs="Times New Roman"/>
                      <w:bCs/>
                      <w:kern w:val="2"/>
                      <w:sz w:val="21"/>
                      <w:szCs w:val="24"/>
                      <w:lang w:val="en-US" w:eastAsia="zh-CN" w:bidi="ar-SA"/>
                    </w:rPr>
                  </w:pPr>
                  <w:r>
                    <w:rPr>
                      <w:rFonts w:hint="eastAsia"/>
                    </w:rPr>
                    <w:sym w:font="Wingdings" w:char="00A8"/>
                  </w:r>
                  <w:r>
                    <w:rPr>
                      <w:rFonts w:hint="eastAsia"/>
                      <w:bCs/>
                    </w:rPr>
                    <w:t xml:space="preserve">第三方检测报告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305" w:type="dxa"/>
                  <w:shd w:val="clear" w:color="auto" w:fill="auto"/>
                  <w:vAlign w:val="center"/>
                </w:tcPr>
                <w:p>
                  <w:pPr>
                    <w:autoSpaceDE w:val="0"/>
                    <w:autoSpaceDN w:val="0"/>
                    <w:adjustRightInd w:val="0"/>
                    <w:jc w:val="center"/>
                    <w:rPr>
                      <w:bCs/>
                      <w:lang w:val="en-GB"/>
                    </w:rPr>
                  </w:pPr>
                </w:p>
              </w:tc>
              <w:tc>
                <w:tcPr>
                  <w:tcW w:w="2905" w:type="dxa"/>
                  <w:shd w:val="clear" w:color="auto" w:fill="auto"/>
                  <w:vAlign w:val="center"/>
                </w:tcPr>
                <w:p>
                  <w:pPr>
                    <w:jc w:val="center"/>
                    <w:rPr>
                      <w:bCs/>
                    </w:rPr>
                  </w:pPr>
                </w:p>
              </w:tc>
              <w:tc>
                <w:tcPr>
                  <w:tcW w:w="3476" w:type="dxa"/>
                  <w:shd w:val="clear" w:color="auto" w:fill="auto"/>
                  <w:vAlign w:val="center"/>
                </w:tcPr>
                <w:p>
                  <w:pPr>
                    <w:autoSpaceDE w:val="0"/>
                    <w:autoSpaceDN w:val="0"/>
                    <w:adjustRightIn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305" w:type="dxa"/>
                  <w:shd w:val="clear" w:color="auto" w:fill="auto"/>
                  <w:vAlign w:val="center"/>
                </w:tcPr>
                <w:p>
                  <w:pPr>
                    <w:autoSpaceDE w:val="0"/>
                    <w:autoSpaceDN w:val="0"/>
                    <w:adjustRightInd w:val="0"/>
                    <w:jc w:val="center"/>
                    <w:rPr>
                      <w:rFonts w:hint="eastAsia" w:eastAsia="宋体"/>
                      <w:bCs/>
                      <w:lang w:val="en-GB" w:eastAsia="zh-CN"/>
                    </w:rPr>
                  </w:pPr>
                </w:p>
              </w:tc>
              <w:tc>
                <w:tcPr>
                  <w:tcW w:w="2905" w:type="dxa"/>
                  <w:shd w:val="clear" w:color="auto" w:fill="auto"/>
                  <w:vAlign w:val="center"/>
                </w:tcPr>
                <w:p>
                  <w:pPr>
                    <w:jc w:val="center"/>
                    <w:rPr>
                      <w:bCs/>
                      <w:lang w:val="en-GB"/>
                    </w:rPr>
                  </w:pPr>
                </w:p>
              </w:tc>
              <w:tc>
                <w:tcPr>
                  <w:tcW w:w="3476" w:type="dxa"/>
                  <w:shd w:val="clear" w:color="auto" w:fill="auto"/>
                  <w:vAlign w:val="center"/>
                </w:tcPr>
                <w:p>
                  <w:pPr>
                    <w:autoSpaceDE w:val="0"/>
                    <w:autoSpaceDN w:val="0"/>
                    <w:adjustRightInd w:val="0"/>
                    <w:jc w:val="center"/>
                    <w:rPr>
                      <w:bCs/>
                    </w:rPr>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6"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3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b/>
                <w:bCs/>
              </w:rPr>
            </w:pPr>
            <w:r>
              <w:rPr>
                <w:b/>
                <w:bCs/>
              </w:rPr>
              <w:t>危害控制计划 (HACCP/OPRP 计划)</w:t>
            </w:r>
          </w:p>
          <w:p>
            <w:pPr>
              <w:shd w:val="clear" w:color="auto"/>
            </w:pPr>
            <w:r>
              <w:t>组织建立、 实施和保持HACCP计划。</w:t>
            </w:r>
          </w:p>
          <w:p>
            <w:pPr>
              <w:pStyle w:val="8"/>
              <w:shd w:val="clear"/>
              <w:ind w:left="0" w:leftChars="0" w:firstLine="0" w:firstLineChars="0"/>
              <w:jc w:val="both"/>
              <w:rPr>
                <w:rFonts w:hint="eastAsia" w:ascii="宋体" w:hAnsi="宋体" w:eastAsia="宋体" w:cs="宋体"/>
                <w:lang w:eastAsia="zh-CN"/>
              </w:rPr>
            </w:pPr>
            <w:r>
              <w:rPr>
                <w:rFonts w:hint="eastAsia" w:ascii="宋体" w:hAnsi="宋体" w:cs="宋体"/>
              </w:rPr>
              <w:t>OPRP</w:t>
            </w:r>
            <w:r>
              <w:rPr>
                <w:rFonts w:hint="eastAsia" w:ascii="宋体" w:hAnsi="宋体" w:cs="宋体"/>
                <w:lang w:val="en-US" w:eastAsia="zh-CN"/>
              </w:rPr>
              <w:t>计划</w:t>
            </w:r>
            <w:r>
              <w:rPr>
                <w:rFonts w:hint="eastAsia" w:ascii="宋体" w:hAnsi="宋体" w:cs="宋体"/>
                <w:lang w:eastAsia="zh-CN"/>
              </w:rPr>
              <w:t>：</w:t>
            </w:r>
          </w:p>
          <w:tbl>
            <w:tblPr>
              <w:tblStyle w:val="9"/>
              <w:tblW w:w="9229"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4"/>
              <w:gridCol w:w="890"/>
              <w:gridCol w:w="1285"/>
              <w:gridCol w:w="2823"/>
              <w:gridCol w:w="2573"/>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80" w:hRule="atLeast"/>
                <w:tblHeader/>
              </w:trPr>
              <w:tc>
                <w:tcPr>
                  <w:tcW w:w="814" w:type="dxa"/>
                  <w:shd w:val="clear" w:color="auto" w:fill="auto"/>
                  <w:vAlign w:val="top"/>
                </w:tcPr>
                <w:p>
                  <w:pPr>
                    <w:pStyle w:val="25"/>
                    <w:shd w:val="clear"/>
                    <w:jc w:val="left"/>
                    <w:rPr>
                      <w:b w:val="0"/>
                      <w:lang w:eastAsia="zh-CN"/>
                    </w:rPr>
                  </w:pPr>
                  <w:r>
                    <w:rPr>
                      <w:rFonts w:hint="eastAsia"/>
                      <w:b w:val="0"/>
                      <w:lang w:eastAsia="zh-CN"/>
                    </w:rPr>
                    <w:t>序号</w:t>
                  </w:r>
                </w:p>
              </w:tc>
              <w:tc>
                <w:tcPr>
                  <w:tcW w:w="890" w:type="dxa"/>
                  <w:shd w:val="clear" w:color="auto" w:fill="auto"/>
                  <w:vAlign w:val="top"/>
                </w:tcPr>
                <w:p>
                  <w:pPr>
                    <w:pStyle w:val="25"/>
                    <w:shd w:val="clear"/>
                    <w:jc w:val="left"/>
                    <w:rPr>
                      <w:b w:val="0"/>
                      <w:lang w:eastAsia="zh-CN"/>
                    </w:rPr>
                  </w:pPr>
                  <w:r>
                    <w:rPr>
                      <w:rFonts w:hint="eastAsia"/>
                      <w:b w:val="0"/>
                      <w:lang w:eastAsia="zh-CN"/>
                    </w:rPr>
                    <w:t>过程步骤</w:t>
                  </w:r>
                </w:p>
              </w:tc>
              <w:tc>
                <w:tcPr>
                  <w:tcW w:w="1285" w:type="dxa"/>
                  <w:shd w:val="clear" w:color="auto" w:fill="auto"/>
                  <w:vAlign w:val="top"/>
                </w:tcPr>
                <w:p>
                  <w:pPr>
                    <w:pStyle w:val="25"/>
                    <w:shd w:val="clear"/>
                    <w:jc w:val="left"/>
                    <w:rPr>
                      <w:b w:val="0"/>
                      <w:lang w:eastAsia="zh-CN"/>
                    </w:rPr>
                  </w:pPr>
                  <w:r>
                    <w:rPr>
                      <w:rFonts w:hint="eastAsia"/>
                      <w:b w:val="0"/>
                      <w:lang w:val="en-US" w:eastAsia="zh-CN"/>
                    </w:rPr>
                    <w:t>食品安全</w:t>
                  </w:r>
                  <w:r>
                    <w:rPr>
                      <w:rFonts w:hint="eastAsia"/>
                      <w:b w:val="0"/>
                      <w:lang w:eastAsia="zh-CN"/>
                    </w:rPr>
                    <w:t>危害</w:t>
                  </w:r>
                </w:p>
              </w:tc>
              <w:tc>
                <w:tcPr>
                  <w:tcW w:w="2823" w:type="dxa"/>
                  <w:shd w:val="clear" w:color="auto" w:fill="auto"/>
                  <w:vAlign w:val="top"/>
                </w:tcPr>
                <w:p>
                  <w:pPr>
                    <w:pStyle w:val="25"/>
                    <w:shd w:val="clear"/>
                    <w:jc w:val="left"/>
                    <w:rPr>
                      <w:b w:val="0"/>
                      <w:lang w:val="fr-FR" w:eastAsia="zh-CN"/>
                    </w:rPr>
                  </w:pPr>
                  <w:r>
                    <w:rPr>
                      <w:rFonts w:hint="eastAsia"/>
                      <w:b w:val="0"/>
                      <w:lang w:val="en-US" w:eastAsia="zh-CN"/>
                    </w:rPr>
                    <w:t>行动准则</w:t>
                  </w:r>
                </w:p>
              </w:tc>
              <w:tc>
                <w:tcPr>
                  <w:tcW w:w="2573" w:type="dxa"/>
                  <w:shd w:val="clear" w:color="auto" w:fill="auto"/>
                  <w:vAlign w:val="top"/>
                </w:tcPr>
                <w:p>
                  <w:pPr>
                    <w:pStyle w:val="25"/>
                    <w:shd w:val="clear"/>
                    <w:jc w:val="left"/>
                    <w:rPr>
                      <w:b w:val="0"/>
                      <w:lang w:eastAsia="zh-CN"/>
                    </w:rPr>
                  </w:pPr>
                  <w:r>
                    <w:rPr>
                      <w:rFonts w:hint="eastAsia"/>
                      <w:b w:val="0"/>
                      <w:lang w:eastAsia="zh-CN"/>
                    </w:rPr>
                    <w:t>监控程序</w:t>
                  </w:r>
                </w:p>
              </w:tc>
              <w:tc>
                <w:tcPr>
                  <w:tcW w:w="844" w:type="dxa"/>
                  <w:shd w:val="clear" w:color="auto" w:fill="auto"/>
                  <w:vAlign w:val="top"/>
                </w:tcPr>
                <w:p>
                  <w:pPr>
                    <w:pStyle w:val="25"/>
                    <w:shd w:val="clear"/>
                    <w:jc w:val="left"/>
                    <w:rPr>
                      <w:b w:val="0"/>
                      <w:lang w:val="en-US"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07"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OPRP</w:t>
                  </w:r>
                  <w:r>
                    <w:rPr>
                      <w:b w:val="0"/>
                      <w:highlight w:val="none"/>
                      <w:lang w:val="en-US" w:eastAsia="zh-CN"/>
                    </w:rPr>
                    <w:t>1</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宰前检验</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疫病</w:t>
                  </w:r>
                  <w:r>
                    <w:rPr>
                      <w:b w:val="0"/>
                      <w:highlight w:val="none"/>
                      <w:lang w:val="en-US" w:eastAsia="zh-CN"/>
                    </w:rPr>
                    <w:t>带入</w:t>
                  </w:r>
                  <w:r>
                    <w:rPr>
                      <w:rFonts w:hint="eastAsia"/>
                      <w:b w:val="0"/>
                      <w:highlight w:val="none"/>
                      <w:lang w:val="en-US" w:eastAsia="zh-CN"/>
                    </w:rPr>
                    <w:t>，</w:t>
                  </w:r>
                  <w:r>
                    <w:rPr>
                      <w:b w:val="0"/>
                      <w:highlight w:val="none"/>
                      <w:lang w:val="en-US" w:eastAsia="zh-CN"/>
                    </w:rPr>
                    <w:t>造成生物污染</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无疫病</w:t>
                  </w:r>
                </w:p>
              </w:tc>
              <w:tc>
                <w:tcPr>
                  <w:tcW w:w="257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驻场兽医观察每头猪是否有异常</w:t>
                  </w:r>
                </w:p>
              </w:tc>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default" w:eastAsia="宋体"/>
                      <w:sz w:val="18"/>
                      <w:szCs w:val="18"/>
                      <w:highlight w:val="none"/>
                      <w:lang w:val="en-US" w:eastAsia="zh-CN"/>
                    </w:rPr>
                  </w:pPr>
                  <w:r>
                    <w:rPr>
                      <w:rFonts w:hint="eastAsia" w:cs="宋体"/>
                      <w:kern w:val="0"/>
                      <w:sz w:val="18"/>
                      <w:szCs w:val="1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56"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ascii="Arial" w:hAnsi="Arial" w:eastAsia="宋体" w:cs="Arial"/>
                      <w:b w:val="0"/>
                      <w:bCs/>
                      <w:snapToGrid w:val="0"/>
                      <w:kern w:val="0"/>
                      <w:sz w:val="18"/>
                      <w:szCs w:val="18"/>
                      <w:lang w:val="en-US" w:eastAsia="zh-CN" w:bidi="ar-SA"/>
                    </w:rPr>
                  </w:pPr>
                  <w:r>
                    <w:rPr>
                      <w:rFonts w:hint="eastAsia"/>
                      <w:b w:val="0"/>
                      <w:lang w:val="en-US" w:eastAsia="zh-CN"/>
                    </w:rPr>
                    <w:t>OPRP2</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静养</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lang w:val="fr-FR" w:eastAsia="zh-CN" w:bidi="ar-SA"/>
                    </w:rPr>
                  </w:pPr>
                  <w:r>
                    <w:rPr>
                      <w:rFonts w:hint="eastAsia"/>
                      <w:b w:val="0"/>
                      <w:lang w:val="en-US" w:eastAsia="zh-CN"/>
                    </w:rPr>
                    <w:t>疫病</w:t>
                  </w:r>
                  <w:r>
                    <w:rPr>
                      <w:b w:val="0"/>
                      <w:lang w:val="en-US" w:eastAsia="zh-CN"/>
                    </w:rPr>
                    <w:t>带入</w:t>
                  </w:r>
                  <w:r>
                    <w:rPr>
                      <w:rFonts w:hint="eastAsia"/>
                      <w:b w:val="0"/>
                      <w:lang w:val="en-US" w:eastAsia="zh-CN"/>
                    </w:rPr>
                    <w:t>，</w:t>
                  </w:r>
                  <w:r>
                    <w:rPr>
                      <w:b w:val="0"/>
                      <w:lang w:val="en-US" w:eastAsia="zh-CN"/>
                    </w:rPr>
                    <w:t>造成生物污染</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无疫病</w:t>
                  </w:r>
                </w:p>
              </w:tc>
              <w:tc>
                <w:tcPr>
                  <w:tcW w:w="257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驻场兽医观察每头猪是否有异常</w:t>
                  </w:r>
                </w:p>
              </w:tc>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eastAsia" w:eastAsia="宋体"/>
                      <w:bCs/>
                      <w:sz w:val="18"/>
                      <w:szCs w:val="18"/>
                      <w:lang w:eastAsia="zh-CN"/>
                    </w:rPr>
                  </w:pPr>
                  <w:r>
                    <w:rPr>
                      <w:rFonts w:hint="eastAsia" w:cs="宋体"/>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OPRP3</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头部检验</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疫病、寄生虫,</w:t>
                  </w:r>
                  <w:r>
                    <w:rPr>
                      <w:b w:val="0"/>
                      <w:lang w:val="en-US" w:eastAsia="zh-CN"/>
                    </w:rPr>
                    <w:t>造成生物污染</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无疫病，</w:t>
                  </w:r>
                  <w:r>
                    <w:rPr>
                      <w:b w:val="0"/>
                      <w:lang w:val="en-US" w:eastAsia="zh-CN"/>
                    </w:rPr>
                    <w:t>寄生虫</w:t>
                  </w:r>
                  <w:r>
                    <w:rPr>
                      <w:rFonts w:hint="eastAsia"/>
                      <w:b w:val="0"/>
                      <w:lang w:val="en-US" w:eastAsia="zh-CN"/>
                    </w:rPr>
                    <w:t>等驻场兽医目视检查</w:t>
                  </w:r>
                </w:p>
              </w:tc>
              <w:tc>
                <w:tcPr>
                  <w:tcW w:w="257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驻场兽医检目视每头剖开猪胴体</w:t>
                  </w:r>
                </w:p>
              </w:tc>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default" w:eastAsia="宋体" w:cs="宋体"/>
                      <w:kern w:val="0"/>
                      <w:sz w:val="18"/>
                      <w:szCs w:val="18"/>
                      <w:lang w:val="en-US" w:eastAsia="zh-CN"/>
                    </w:rPr>
                  </w:pPr>
                  <w:r>
                    <w:rPr>
                      <w:rFonts w:hint="eastAsia" w:eastAsia="宋体" w:cs="宋体"/>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42" w:hRule="atLeast"/>
              </w:trPr>
              <w:tc>
                <w:tcPr>
                  <w:tcW w:w="0" w:type="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OPRP4</w:t>
                  </w:r>
                </w:p>
              </w:tc>
              <w:tc>
                <w:tcPr>
                  <w:tcW w:w="0" w:type="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胴体检查</w:t>
                  </w:r>
                </w:p>
              </w:tc>
              <w:tc>
                <w:tcPr>
                  <w:tcW w:w="0" w:type="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疫情或疾病带入,</w:t>
                  </w:r>
                  <w:r>
                    <w:rPr>
                      <w:b w:val="0"/>
                      <w:lang w:val="en-US" w:eastAsia="zh-CN"/>
                    </w:rPr>
                    <w:t>造成生物污染</w:t>
                  </w:r>
                </w:p>
              </w:tc>
              <w:tc>
                <w:tcPr>
                  <w:tcW w:w="0" w:type="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无疫病，</w:t>
                  </w:r>
                  <w:r>
                    <w:rPr>
                      <w:b w:val="0"/>
                      <w:lang w:val="en-US" w:eastAsia="zh-CN"/>
                    </w:rPr>
                    <w:t>寄生虫</w:t>
                  </w:r>
                  <w:r>
                    <w:rPr>
                      <w:rFonts w:hint="eastAsia"/>
                      <w:b w:val="0"/>
                      <w:lang w:val="en-US" w:eastAsia="zh-CN"/>
                    </w:rPr>
                    <w:t>等驻场兽医目视检查</w:t>
                  </w:r>
                </w:p>
              </w:tc>
              <w:tc>
                <w:tcPr>
                  <w:tcW w:w="2573" w:type="dxa"/>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驻场兽医检查每头猪的内脏</w:t>
                  </w:r>
                </w:p>
              </w:tc>
              <w:tc>
                <w:tcPr>
                  <w:tcW w:w="844" w:type="dxa"/>
                </w:tcPr>
                <w:p>
                  <w:pPr>
                    <w:shd w:val="clear"/>
                    <w:jc w:val="left"/>
                    <w:rPr>
                      <w:rFonts w:hint="default" w:eastAsia="宋体" w:cs="宋体"/>
                      <w:kern w:val="0"/>
                      <w:sz w:val="18"/>
                      <w:szCs w:val="18"/>
                      <w:lang w:val="en-US" w:eastAsia="zh-CN"/>
                    </w:rPr>
                  </w:pPr>
                  <w:r>
                    <w:rPr>
                      <w:rFonts w:hint="eastAsia" w:eastAsia="宋体" w:cs="宋体"/>
                      <w:kern w:val="0"/>
                      <w:sz w:val="18"/>
                      <w:szCs w:val="18"/>
                      <w:lang w:val="en-US" w:eastAsia="zh-CN"/>
                    </w:rPr>
                    <w:t>1</w:t>
                  </w:r>
                </w:p>
              </w:tc>
            </w:tr>
          </w:tbl>
          <w:p>
            <w:pPr>
              <w:pStyle w:val="8"/>
              <w:shd w:val="clear"/>
              <w:rPr>
                <w:rFonts w:hint="eastAsia" w:ascii="宋体" w:hAnsi="宋体" w:cs="宋体"/>
                <w:lang w:val="en-GB"/>
              </w:rPr>
            </w:pPr>
          </w:p>
          <w:p>
            <w:pPr>
              <w:pStyle w:val="8"/>
              <w:shd w:val="clear"/>
              <w:rPr>
                <w:rFonts w:hint="eastAsia" w:ascii="宋体" w:hAnsi="宋体" w:cs="宋体"/>
                <w:lang w:val="en-GB"/>
              </w:rPr>
            </w:pPr>
          </w:p>
          <w:p>
            <w:pPr>
              <w:shd w:val="clear"/>
              <w:spacing w:before="240" w:after="120"/>
              <w:rPr>
                <w:rFonts w:hint="eastAsia" w:ascii="宋体" w:hAnsi="宋体" w:cs="宋体"/>
                <w:lang w:val="en-GB" w:eastAsia="zh-CN"/>
              </w:rPr>
            </w:pPr>
            <w:r>
              <w:rPr>
                <w:rFonts w:hint="eastAsia" w:ascii="宋体" w:hAnsi="宋体" w:cs="宋体"/>
                <w:lang w:val="en-GB"/>
              </w:rPr>
              <w:t>HACCP计划1</w:t>
            </w:r>
          </w:p>
          <w:tbl>
            <w:tblPr>
              <w:tblStyle w:val="9"/>
              <w:tblW w:w="923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33"/>
              <w:gridCol w:w="1155"/>
              <w:gridCol w:w="1553"/>
              <w:gridCol w:w="1888"/>
              <w:gridCol w:w="3278"/>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8" w:hRule="atLeast"/>
                <w:tblHeader/>
              </w:trPr>
              <w:tc>
                <w:tcPr>
                  <w:tcW w:w="733" w:type="dxa"/>
                  <w:shd w:val="clear" w:color="auto" w:fill="auto"/>
                </w:tcPr>
                <w:p>
                  <w:pPr>
                    <w:pStyle w:val="25"/>
                    <w:shd w:val="clear"/>
                    <w:rPr>
                      <w:lang w:eastAsia="zh-CN"/>
                    </w:rPr>
                  </w:pPr>
                  <w:r>
                    <w:rPr>
                      <w:rFonts w:hint="eastAsia"/>
                      <w:lang w:eastAsia="zh-CN"/>
                    </w:rPr>
                    <w:t>序号</w:t>
                  </w:r>
                </w:p>
              </w:tc>
              <w:tc>
                <w:tcPr>
                  <w:tcW w:w="1155" w:type="dxa"/>
                  <w:shd w:val="clear" w:color="auto" w:fill="auto"/>
                </w:tcPr>
                <w:p>
                  <w:pPr>
                    <w:pStyle w:val="25"/>
                    <w:shd w:val="clear"/>
                    <w:rPr>
                      <w:lang w:eastAsia="zh-CN"/>
                    </w:rPr>
                  </w:pPr>
                  <w:r>
                    <w:rPr>
                      <w:rFonts w:hint="eastAsia"/>
                      <w:lang w:eastAsia="zh-CN"/>
                    </w:rPr>
                    <w:t>过程步骤</w:t>
                  </w:r>
                </w:p>
              </w:tc>
              <w:tc>
                <w:tcPr>
                  <w:tcW w:w="1553" w:type="dxa"/>
                  <w:shd w:val="clear" w:color="auto" w:fill="auto"/>
                </w:tcPr>
                <w:p>
                  <w:pPr>
                    <w:pStyle w:val="25"/>
                    <w:shd w:val="clear"/>
                    <w:rPr>
                      <w:lang w:eastAsia="zh-CN"/>
                    </w:rPr>
                  </w:pPr>
                  <w:r>
                    <w:rPr>
                      <w:rFonts w:hint="eastAsia"/>
                      <w:lang w:eastAsia="zh-CN"/>
                    </w:rPr>
                    <w:t>危害</w:t>
                  </w:r>
                </w:p>
              </w:tc>
              <w:tc>
                <w:tcPr>
                  <w:tcW w:w="1888" w:type="dxa"/>
                  <w:shd w:val="clear" w:color="auto" w:fill="auto"/>
                </w:tcPr>
                <w:p>
                  <w:pPr>
                    <w:pStyle w:val="25"/>
                    <w:shd w:val="clear"/>
                    <w:rPr>
                      <w:lang w:eastAsia="zh-CN"/>
                    </w:rPr>
                  </w:pPr>
                  <w:r>
                    <w:rPr>
                      <w:rFonts w:hint="eastAsia"/>
                      <w:lang w:eastAsia="zh-CN"/>
                    </w:rPr>
                    <w:t>监控程序</w:t>
                  </w:r>
                </w:p>
              </w:tc>
              <w:tc>
                <w:tcPr>
                  <w:tcW w:w="3278" w:type="dxa"/>
                  <w:shd w:val="clear" w:color="auto" w:fill="auto"/>
                </w:tcPr>
                <w:p>
                  <w:pPr>
                    <w:pStyle w:val="25"/>
                    <w:shd w:val="clear"/>
                    <w:rPr>
                      <w:lang w:val="fr-FR" w:eastAsia="zh-CN"/>
                    </w:rPr>
                  </w:pPr>
                  <w:r>
                    <w:rPr>
                      <w:rFonts w:hint="eastAsia"/>
                      <w:lang w:val="en-US" w:eastAsia="zh-CN"/>
                    </w:rPr>
                    <w:t>关键限值</w:t>
                  </w:r>
                </w:p>
              </w:tc>
              <w:tc>
                <w:tcPr>
                  <w:tcW w:w="629" w:type="dxa"/>
                  <w:shd w:val="clear" w:color="auto" w:fill="auto"/>
                </w:tcPr>
                <w:p>
                  <w:pPr>
                    <w:pStyle w:val="25"/>
                    <w:shd w:val="clear"/>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71" w:hRule="atLeast"/>
              </w:trPr>
              <w:tc>
                <w:tcPr>
                  <w:tcW w:w="73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CCP1</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生猪验收</w:t>
                  </w:r>
                </w:p>
              </w:tc>
              <w:tc>
                <w:tcPr>
                  <w:tcW w:w="155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jc w:val="left"/>
                    <w:rPr>
                      <w:rFonts w:hint="eastAsia" w:ascii="Arial" w:hAnsi="Arial" w:eastAsia="宋体" w:cs="Arial"/>
                      <w:b w:val="0"/>
                      <w:bCs/>
                      <w:snapToGrid w:val="0"/>
                      <w:kern w:val="0"/>
                      <w:sz w:val="18"/>
                      <w:szCs w:val="18"/>
                      <w:highlight w:val="none"/>
                      <w:lang w:val="fr-FR" w:eastAsia="zh-CN" w:bidi="ar-SA"/>
                    </w:rPr>
                  </w:pPr>
                  <w:r>
                    <w:rPr>
                      <w:rFonts w:hint="eastAsia"/>
                      <w:b w:val="0"/>
                      <w:highlight w:val="none"/>
                      <w:lang w:val="en-US" w:eastAsia="zh-CN"/>
                    </w:rPr>
                    <w:t>化学</w:t>
                  </w:r>
                  <w:r>
                    <w:rPr>
                      <w:b w:val="0"/>
                      <w:highlight w:val="none"/>
                      <w:lang w:val="en-US" w:eastAsia="zh-CN"/>
                    </w:rPr>
                    <w:t>危害</w:t>
                  </w:r>
                  <w:r>
                    <w:rPr>
                      <w:rFonts w:hint="eastAsia"/>
                      <w:b w:val="0"/>
                      <w:highlight w:val="none"/>
                      <w:lang w:val="en-US" w:eastAsia="zh-CN"/>
                    </w:rPr>
                    <w:t>：盐酸克伦特罗、莱克多巴胺</w:t>
                  </w:r>
                </w:p>
              </w:tc>
              <w:tc>
                <w:tcPr>
                  <w:tcW w:w="1888"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numPr>
                      <w:ilvl w:val="0"/>
                      <w:numId w:val="5"/>
                    </w:numPr>
                    <w:rPr>
                      <w:rFonts w:hint="eastAsia"/>
                      <w:b w:val="0"/>
                      <w:highlight w:val="none"/>
                      <w:lang w:val="en-US" w:eastAsia="zh-CN"/>
                    </w:rPr>
                  </w:pPr>
                  <w:r>
                    <w:rPr>
                      <w:rFonts w:hint="eastAsia"/>
                      <w:b w:val="0"/>
                      <w:highlight w:val="none"/>
                      <w:lang w:val="en-US" w:eastAsia="zh-CN"/>
                    </w:rPr>
                    <w:t>尿检：阴性；</w:t>
                  </w:r>
                </w:p>
                <w:p>
                  <w:pPr>
                    <w:pStyle w:val="25"/>
                    <w:numPr>
                      <w:ilvl w:val="0"/>
                      <w:numId w:val="5"/>
                    </w:numPr>
                    <w:ind w:left="0" w:leftChars="0" w:firstLine="0" w:firstLineChars="0"/>
                    <w:rPr>
                      <w:rFonts w:hint="default"/>
                      <w:b w:val="0"/>
                      <w:highlight w:val="none"/>
                      <w:lang w:val="en-US" w:eastAsia="zh-CN"/>
                    </w:rPr>
                  </w:pPr>
                  <w:r>
                    <w:rPr>
                      <w:rFonts w:hint="eastAsia"/>
                      <w:b w:val="0"/>
                      <w:highlight w:val="none"/>
                      <w:lang w:val="en-US" w:eastAsia="zh-CN"/>
                    </w:rPr>
                    <w:t>动物检验合格证</w:t>
                  </w:r>
                </w:p>
                <w:p>
                  <w:pPr>
                    <w:pStyle w:val="25"/>
                    <w:numPr>
                      <w:ilvl w:val="0"/>
                      <w:numId w:val="5"/>
                    </w:numPr>
                    <w:ind w:left="0" w:leftChars="0" w:firstLine="0" w:firstLineChars="0"/>
                    <w:rPr>
                      <w:rFonts w:hint="eastAsia"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猪监控无异常</w:t>
                  </w:r>
                </w:p>
              </w:tc>
              <w:tc>
                <w:tcPr>
                  <w:tcW w:w="3278"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jc w:val="left"/>
                    <w:rPr>
                      <w:rFonts w:hint="default"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检验员每批抽取来样猪尿液进行检测；驻场兽医每车验动物检验检疫合格证并观察猪健康无异常</w:t>
                  </w:r>
                </w:p>
              </w:tc>
              <w:tc>
                <w:tcPr>
                  <w:tcW w:w="629" w:type="dxa"/>
                  <w:tcBorders>
                    <w:top w:val="single" w:color="auto" w:sz="4" w:space="0"/>
                    <w:left w:val="single" w:color="auto" w:sz="4" w:space="0"/>
                    <w:bottom w:val="single" w:color="auto" w:sz="4" w:space="0"/>
                    <w:right w:val="single" w:color="auto" w:sz="4" w:space="0"/>
                  </w:tcBorders>
                  <w:shd w:val="clear" w:color="auto" w:fill="auto"/>
                </w:tcPr>
                <w:p>
                  <w:pPr>
                    <w:shd w:val="clear"/>
                    <w:jc w:val="center"/>
                    <w:rPr>
                      <w:rFonts w:hint="eastAsia" w:eastAsia="宋体"/>
                      <w:color w:val="0000FF"/>
                      <w:highlight w:val="none"/>
                      <w:lang w:val="en-US" w:eastAsia="zh-CN"/>
                    </w:rPr>
                  </w:pPr>
                  <w:r>
                    <w:rPr>
                      <w:rFonts w:hint="eastAsia"/>
                      <w:color w:val="auto"/>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4" w:hRule="atLeast"/>
              </w:trPr>
              <w:tc>
                <w:tcPr>
                  <w:tcW w:w="73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CCP2</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复检</w:t>
                  </w:r>
                </w:p>
              </w:tc>
              <w:tc>
                <w:tcPr>
                  <w:tcW w:w="155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jc w:val="left"/>
                    <w:rPr>
                      <w:rFonts w:hint="eastAsia" w:ascii="Arial" w:hAnsi="Arial" w:eastAsia="宋体" w:cs="Arial"/>
                      <w:b w:val="0"/>
                      <w:bCs/>
                      <w:snapToGrid w:val="0"/>
                      <w:kern w:val="0"/>
                      <w:sz w:val="18"/>
                      <w:szCs w:val="18"/>
                      <w:lang w:val="fr-FR" w:eastAsia="zh-CN" w:bidi="ar-SA"/>
                    </w:rPr>
                  </w:pPr>
                  <w:r>
                    <w:rPr>
                      <w:rFonts w:hint="eastAsia"/>
                      <w:b w:val="0"/>
                      <w:lang w:val="en-US" w:eastAsia="zh-CN"/>
                    </w:rPr>
                    <w:t>疫情或疾病带入，</w:t>
                  </w:r>
                  <w:r>
                    <w:rPr>
                      <w:b w:val="0"/>
                      <w:lang w:val="en-US" w:eastAsia="zh-CN"/>
                    </w:rPr>
                    <w:t>造成生物危害</w:t>
                  </w:r>
                </w:p>
              </w:tc>
              <w:tc>
                <w:tcPr>
                  <w:tcW w:w="1888"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整猪无病变或疫情</w:t>
                  </w:r>
                </w:p>
              </w:tc>
              <w:tc>
                <w:tcPr>
                  <w:tcW w:w="3278"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jc w:val="left"/>
                    <w:rPr>
                      <w:rFonts w:hint="eastAsia" w:ascii="Arial" w:hAnsi="Arial" w:eastAsia="宋体" w:cs="Arial"/>
                      <w:b w:val="0"/>
                      <w:bCs/>
                      <w:snapToGrid w:val="0"/>
                      <w:kern w:val="0"/>
                      <w:sz w:val="18"/>
                      <w:szCs w:val="18"/>
                      <w:lang w:val="en-US" w:eastAsia="zh-CN" w:bidi="ar-SA"/>
                    </w:rPr>
                  </w:pPr>
                  <w:r>
                    <w:rPr>
                      <w:rFonts w:hint="eastAsia"/>
                      <w:b w:val="0"/>
                      <w:lang w:val="en-US" w:eastAsia="zh-CN"/>
                    </w:rPr>
                    <w:t>驻场兽医检查每头剖开的猪内脏及胴体</w:t>
                  </w:r>
                </w:p>
              </w:tc>
              <w:tc>
                <w:tcPr>
                  <w:tcW w:w="629" w:type="dxa"/>
                  <w:tcBorders>
                    <w:top w:val="single" w:color="auto" w:sz="4" w:space="0"/>
                    <w:left w:val="single" w:color="auto" w:sz="4" w:space="0"/>
                    <w:bottom w:val="single" w:color="auto" w:sz="4" w:space="0"/>
                    <w:right w:val="single" w:color="auto" w:sz="4" w:space="0"/>
                  </w:tcBorders>
                  <w:shd w:val="clear" w:color="auto" w:fill="auto"/>
                </w:tcPr>
                <w:p>
                  <w:pPr>
                    <w:shd w:val="clear"/>
                    <w:jc w:val="center"/>
                    <w:rPr>
                      <w:rFonts w:hint="eastAsia" w:eastAsia="宋体"/>
                      <w:color w:val="0000FF"/>
                      <w:highlight w:val="yellow"/>
                      <w:lang w:val="en-US" w:eastAsia="zh-CN"/>
                    </w:rPr>
                  </w:pPr>
                  <w:r>
                    <w:rPr>
                      <w:rFonts w:hint="eastAsia"/>
                      <w:color w:val="auto"/>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0" w:hRule="atLeast"/>
              </w:trPr>
              <w:tc>
                <w:tcPr>
                  <w:tcW w:w="733" w:type="dxa"/>
                  <w:tcBorders>
                    <w:top w:val="single" w:color="auto" w:sz="4" w:space="0"/>
                    <w:left w:val="single" w:color="auto" w:sz="4" w:space="0"/>
                    <w:bottom w:val="single" w:color="auto" w:sz="4" w:space="0"/>
                    <w:right w:val="single" w:color="auto" w:sz="4" w:space="0"/>
                  </w:tcBorders>
                  <w:shd w:val="clear" w:color="auto" w:fill="auto"/>
                </w:tcPr>
                <w:p>
                  <w:pPr>
                    <w:shd w:val="clear"/>
                    <w:rPr>
                      <w:color w:val="0000FF"/>
                      <w:sz w:val="18"/>
                      <w:szCs w:val="18"/>
                      <w:highlight w:val="yellow"/>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hd w:val="clear"/>
                    <w:adjustRightInd w:val="0"/>
                    <w:spacing w:line="220" w:lineRule="exact"/>
                    <w:jc w:val="both"/>
                    <w:textAlignment w:val="baseline"/>
                    <w:rPr>
                      <w:rFonts w:ascii="仿宋_GB2312" w:cs="宋体"/>
                      <w:b/>
                      <w:kern w:val="0"/>
                      <w:szCs w:val="22"/>
                    </w:rPr>
                  </w:pPr>
                </w:p>
              </w:tc>
              <w:tc>
                <w:tcPr>
                  <w:tcW w:w="1553"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ascii="Times New Roman" w:hAnsi="Times New Roman" w:eastAsia="宋体" w:cs="Times New Roman"/>
                      <w:color w:val="0000FF"/>
                      <w:kern w:val="2"/>
                      <w:sz w:val="21"/>
                      <w:szCs w:val="24"/>
                      <w:highlight w:val="yellow"/>
                      <w:lang w:val="fr-FR" w:eastAsia="zh-CN" w:bidi="ar-SA"/>
                    </w:rPr>
                  </w:pPr>
                </w:p>
              </w:tc>
              <w:tc>
                <w:tcPr>
                  <w:tcW w:w="1888"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ascii="Times New Roman" w:hAnsi="Times New Roman" w:eastAsia="宋体" w:cs="Times New Roman"/>
                      <w:color w:val="0000FF"/>
                      <w:kern w:val="2"/>
                      <w:sz w:val="21"/>
                      <w:szCs w:val="24"/>
                      <w:highlight w:val="yellow"/>
                      <w:lang w:val="en-US" w:eastAsia="zh-CN" w:bidi="ar-SA"/>
                    </w:rPr>
                  </w:pPr>
                </w:p>
              </w:tc>
              <w:tc>
                <w:tcPr>
                  <w:tcW w:w="3278" w:type="dxa"/>
                  <w:tcBorders>
                    <w:top w:val="single" w:color="auto" w:sz="4" w:space="0"/>
                    <w:left w:val="single" w:color="auto" w:sz="4" w:space="0"/>
                    <w:bottom w:val="single" w:color="auto" w:sz="4" w:space="0"/>
                    <w:right w:val="single" w:color="auto" w:sz="4" w:space="0"/>
                  </w:tcBorders>
                  <w:shd w:val="clear" w:color="auto" w:fill="auto"/>
                </w:tcPr>
                <w:p>
                  <w:pPr>
                    <w:shd w:val="clear"/>
                    <w:spacing w:line="280" w:lineRule="exact"/>
                    <w:jc w:val="left"/>
                    <w:rPr>
                      <w:rFonts w:ascii="宋体" w:hAnsi="宋体" w:cs="宋体"/>
                      <w:kern w:val="0"/>
                      <w:szCs w:val="22"/>
                    </w:rPr>
                  </w:pPr>
                </w:p>
              </w:tc>
              <w:tc>
                <w:tcPr>
                  <w:tcW w:w="629" w:type="dxa"/>
                  <w:tcBorders>
                    <w:top w:val="single" w:color="auto" w:sz="4" w:space="0"/>
                    <w:left w:val="single" w:color="auto" w:sz="4" w:space="0"/>
                    <w:bottom w:val="single" w:color="auto" w:sz="4" w:space="0"/>
                    <w:right w:val="single" w:color="auto" w:sz="4" w:space="0"/>
                  </w:tcBorders>
                  <w:shd w:val="clear" w:color="auto" w:fill="auto"/>
                </w:tcPr>
                <w:p>
                  <w:pPr>
                    <w:shd w:val="clear"/>
                    <w:jc w:val="center"/>
                    <w:rPr>
                      <w:color w:val="0000FF"/>
                      <w:highlight w:val="yellow"/>
                    </w:rPr>
                  </w:pPr>
                </w:p>
              </w:tc>
            </w:tr>
          </w:tbl>
          <w:p>
            <w:pPr>
              <w:shd w:val="clear" w:color="auto"/>
              <w:rPr>
                <w:rFonts w:hint="default" w:eastAsia="宋体"/>
                <w:lang w:val="en-US" w:eastAsia="zh-CN"/>
              </w:rPr>
            </w:pPr>
            <w:r>
              <w:rPr>
                <w:rFonts w:hint="eastAsia" w:ascii="Times New Roman" w:hAnsi="Times New Roman" w:eastAsia="宋体" w:cs="Times New Roman"/>
                <w:color w:val="0000FF"/>
                <w:lang w:eastAsia="zh-CN"/>
              </w:rPr>
              <w:t>——</w:t>
            </w:r>
            <w:r>
              <w:rPr>
                <w:rFonts w:hint="eastAsia" w:ascii="Times New Roman" w:hAnsi="Times New Roman" w:eastAsia="宋体" w:cs="Times New Roman"/>
                <w:color w:val="0000FF"/>
                <w:lang w:val="en-US" w:eastAsia="zh-CN"/>
              </w:rPr>
              <w:t>审核周期内未发生较大变化，抽查实施情况基本满足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fill="EBF1DE" w:themeFill="accent3" w:themeFillTint="32"/>
              <w:rPr>
                <w:b/>
                <w:bCs/>
              </w:rPr>
            </w:pPr>
            <w:r>
              <w:rPr>
                <w:b/>
                <w:bCs/>
              </w:rPr>
              <w:t>超出关键限值或行动限值采取的措施</w:t>
            </w:r>
          </w:p>
          <w:p>
            <w:pPr>
              <w:shd w:val="clear" w:color="auto" w:fill="EBF1DE" w:themeFill="accent3" w:themeFillTint="32"/>
            </w:pPr>
            <w:r>
              <w:t>组织规定超出行动限值或行动限值时所采取的纠正和纠正措施。并确保：</w:t>
            </w:r>
          </w:p>
          <w:p>
            <w:pPr>
              <w:shd w:val="clear" w:color="auto" w:fill="EBF1DE" w:themeFill="accent3" w:themeFillTint="32"/>
            </w:pPr>
            <w:r>
              <w:t>a) 潜在不安全产品未放行；</w:t>
            </w:r>
          </w:p>
          <w:p>
            <w:pPr>
              <w:shd w:val="clear" w:color="auto" w:fill="EBF1DE" w:themeFill="accent3" w:themeFillTint="32"/>
            </w:pPr>
            <w:r>
              <w:t>b) 查明不符合的原因；</w:t>
            </w:r>
          </w:p>
          <w:p>
            <w:pPr>
              <w:shd w:val="clear" w:color="auto" w:fill="EBF1DE" w:themeFill="accent3" w:themeFillTint="32"/>
            </w:pPr>
            <w:r>
              <w:t>c)</w:t>
            </w:r>
            <w:r>
              <w:rPr>
                <w:rFonts w:hint="eastAsia"/>
              </w:rPr>
              <w:t xml:space="preserve"> </w:t>
            </w:r>
            <w:r>
              <w:t>使在CCP和OPRP控制的参数回到关键限值或行动限值内；</w:t>
            </w:r>
          </w:p>
          <w:p>
            <w:pPr>
              <w:shd w:val="clear" w:color="auto" w:fill="EBF1DE" w:themeFill="accent3" w:themeFillTint="32"/>
            </w:pPr>
            <w:r>
              <w:t>d）防止再次发生。</w:t>
            </w:r>
          </w:p>
          <w:p>
            <w:pPr>
              <w:shd w:val="clear" w:fill="EBF1DE" w:themeFill="accent3" w:themeFillTint="32"/>
              <w:tabs>
                <w:tab w:val="right" w:pos="3119"/>
              </w:tabs>
            </w:pPr>
          </w:p>
          <w:p>
            <w:pPr>
              <w:shd w:val="clear" w:fill="EBF1DE" w:themeFill="accent3" w:themeFillTint="32"/>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shd w:val="clear" w:fill="EBF1DE" w:themeFill="accent3" w:themeFillTint="32"/>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EBF1DE" w:themeFill="accent3" w:themeFillTint="32"/>
              <w:rPr>
                <w:rFonts w:hint="eastAsia" w:eastAsia="宋体"/>
                <w:b/>
                <w:bCs/>
                <w:lang w:eastAsia="zh-CN"/>
              </w:rPr>
            </w:pPr>
            <w:r>
              <w:t xml:space="preserve"> </w:t>
            </w:r>
            <w:r>
              <w:rPr>
                <w:b/>
                <w:bCs/>
              </w:rPr>
              <w:t>PRP和 危害控制计划文件的更新</w:t>
            </w:r>
            <w:r>
              <w:rPr>
                <w:rFonts w:hint="eastAsia"/>
                <w:b/>
                <w:bCs/>
                <w:lang w:eastAsia="zh-CN"/>
              </w:rPr>
              <w:t>（</w:t>
            </w:r>
            <w:r>
              <w:rPr>
                <w:rFonts w:hint="eastAsia"/>
                <w:b/>
                <w:bCs/>
                <w:lang w:val="en-US" w:eastAsia="zh-CN"/>
              </w:rPr>
              <w:t>体系建立以来未发生</w:t>
            </w:r>
            <w:r>
              <w:rPr>
                <w:rFonts w:hint="eastAsia"/>
                <w:b/>
                <w:bCs/>
                <w:lang w:eastAsia="zh-CN"/>
              </w:rPr>
              <w:t>）</w:t>
            </w:r>
          </w:p>
          <w:p>
            <w:pPr>
              <w:shd w:val="clear" w:color="auto" w:fill="EBF1DE" w:themeFill="accent3" w:themeFillTint="32"/>
              <w:rPr>
                <w:rFonts w:hint="default" w:eastAsia="宋体"/>
                <w:lang w:val="en-US" w:eastAsia="zh-CN"/>
              </w:rPr>
            </w:pPr>
            <w:r>
              <w:t>制定OPRP计划和（或） HACCP计划后， 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eastAsia="zh-CN"/>
              </w:rPr>
              <w:t>（</w:t>
            </w:r>
            <w:r>
              <w:rPr>
                <w:rFonts w:hint="eastAsia"/>
                <w:lang w:val="en-US" w:eastAsia="zh-CN"/>
              </w:rPr>
              <w:t>近一年以来未发生修改）</w:t>
            </w:r>
          </w:p>
          <w:p>
            <w:pPr>
              <w:shd w:val="clear" w:color="auto" w:fill="EBF1DE" w:themeFill="accent3" w:themeFillTint="32"/>
            </w:pPr>
            <w:r>
              <w:rPr>
                <w:rFonts w:hint="eastAsia"/>
              </w:rPr>
              <w:t xml:space="preserve">☑ </w:t>
            </w:r>
            <w:r>
              <w:t>原料、 辅料和与产品接触材料的特性；</w:t>
            </w:r>
          </w:p>
          <w:p>
            <w:pPr>
              <w:shd w:val="clear" w:color="auto" w:fill="EBF1DE" w:themeFill="accent3" w:themeFillTint="32"/>
            </w:pPr>
            <w:r>
              <w:rPr>
                <w:rFonts w:hint="eastAsia"/>
              </w:rPr>
              <w:t>☑</w:t>
            </w:r>
            <w:r>
              <w:t xml:space="preserve"> 成品特性；</w:t>
            </w:r>
          </w:p>
          <w:p>
            <w:pPr>
              <w:shd w:val="clear" w:color="auto" w:fill="EBF1DE" w:themeFill="accent3" w:themeFillTint="32"/>
            </w:pPr>
            <w:r>
              <w:rPr>
                <w:rFonts w:hint="eastAsia"/>
              </w:rPr>
              <w:t>☑</w:t>
            </w:r>
            <w:r>
              <w:t xml:space="preserve"> 预期用途；</w:t>
            </w:r>
          </w:p>
          <w:p>
            <w:pPr>
              <w:shd w:val="clear" w:color="auto" w:fill="EBF1DE" w:themeFill="accent3" w:themeFillTint="32"/>
            </w:pPr>
            <w:r>
              <w:rPr>
                <w:rFonts w:hint="eastAsia"/>
              </w:rPr>
              <w:t>☑</w:t>
            </w:r>
            <w:r>
              <w:t xml:space="preserve"> 流程图、 工艺步骤和控制措施。</w:t>
            </w:r>
          </w:p>
          <w:p>
            <w:pPr>
              <w:shd w:val="clear" w:color="auto" w:fill="EBF1DE" w:themeFill="accent3" w:themeFillTint="32"/>
            </w:pPr>
            <w:r>
              <w:rPr>
                <w:rFonts w:hint="eastAsia"/>
              </w:rPr>
              <w:t>☑</w:t>
            </w:r>
            <w:r>
              <w:t>HACCP计划、 OPRP计划和/或PRP。</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fill="EBF1DE" w:themeFill="accent3" w:themeFillTint="32"/>
              <w:rPr>
                <w:b/>
                <w:bCs/>
              </w:rPr>
            </w:pPr>
            <w:r>
              <w:rPr>
                <w:b/>
                <w:bCs/>
              </w:rPr>
              <w:t>监视和测量的控制</w:t>
            </w:r>
          </w:p>
          <w:p>
            <w:pPr>
              <w:shd w:val="clear" w:color="auto" w:fill="EBF1DE" w:themeFill="accent3" w:themeFillTint="32"/>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A8"/>
            </w:r>
            <w:r>
              <w:rPr>
                <w:rFonts w:hint="eastAsia"/>
              </w:rPr>
              <w:t xml:space="preserve">顾客要求  </w:t>
            </w:r>
            <w:r>
              <w:rPr>
                <w:rFonts w:hint="eastAsia"/>
              </w:rPr>
              <w:sym w:font="Wingdings" w:char="00A8"/>
            </w:r>
            <w:r>
              <w:rPr>
                <w:rFonts w:hint="eastAsia"/>
              </w:rPr>
              <w:t>其他</w:t>
            </w:r>
          </w:p>
          <w:p>
            <w:pPr>
              <w:shd w:val="clear" w:color="auto" w:fill="EBF1DE" w:themeFill="accent3" w:themeFillTint="32"/>
              <w:rPr>
                <w:b/>
                <w:bCs/>
              </w:rPr>
            </w:pPr>
          </w:p>
          <w:p>
            <w:pPr>
              <w:shd w:val="clear" w:color="auto" w:fill="EBF1DE" w:themeFill="accent3" w:themeFillTint="32"/>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EBF1DE" w:themeFill="accent3" w:themeFillTint="32"/>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EBF1DE" w:themeFill="accent3" w:themeFillTint="32"/>
              <w:rPr>
                <w:u w:val="single"/>
              </w:rPr>
            </w:pPr>
            <w:r>
              <w:rPr>
                <w:rFonts w:hint="eastAsia"/>
              </w:rPr>
              <w:t>国家强检的计量器具有：</w:t>
            </w:r>
            <w:r>
              <w:rPr>
                <w:rFonts w:hint="eastAsia"/>
                <w:u w:val="single"/>
                <w:lang w:val="en-US" w:eastAsia="zh-CN"/>
              </w:rPr>
              <w:t>电子秤</w:t>
            </w:r>
            <w:r>
              <w:rPr>
                <w:rFonts w:hint="eastAsia"/>
                <w:u w:val="single"/>
              </w:rPr>
              <w:t xml:space="preserve"> </w:t>
            </w:r>
            <w:r>
              <w:rPr>
                <w:rFonts w:hint="eastAsia"/>
                <w:u w:val="single"/>
                <w:lang w:eastAsia="zh-CN"/>
              </w:rPr>
              <w:t>、</w:t>
            </w:r>
            <w:r>
              <w:rPr>
                <w:rFonts w:hint="eastAsia"/>
                <w:u w:val="single"/>
                <w:lang w:val="en-US" w:eastAsia="zh-CN"/>
              </w:rPr>
              <w:t>压力温度计、荧光PCR测定仪等</w:t>
            </w:r>
            <w:r>
              <w:rPr>
                <w:rFonts w:hint="eastAsia"/>
                <w:u w:val="single"/>
              </w:rPr>
              <w:t xml:space="preserve">      （列举1~4种）</w:t>
            </w:r>
          </w:p>
          <w:p>
            <w:pPr>
              <w:shd w:val="clear" w:color="auto" w:fill="EBF1DE" w:themeFill="accent3" w:themeFillTint="32"/>
              <w:rPr>
                <w:rFonts w:hint="eastAsia"/>
                <w:highlight w:val="none"/>
                <w:u w:val="single"/>
                <w:lang w:val="en-US" w:eastAsia="zh-CN"/>
              </w:rPr>
            </w:pPr>
            <w:r>
              <w:rPr>
                <w:rFonts w:hint="eastAsia"/>
                <w:highlight w:val="none"/>
              </w:rPr>
              <w:t>计量器具管理：</w:t>
            </w:r>
            <w:r>
              <w:rPr>
                <w:rFonts w:hint="eastAsia"/>
                <w:highlight w:val="none"/>
                <w:lang w:eastAsia="zh-CN"/>
              </w:rPr>
              <w:sym w:font="Wingdings 2" w:char="0052"/>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 xml:space="preserve">           </w:t>
            </w:r>
          </w:p>
          <w:p>
            <w:pPr>
              <w:shd w:val="clear" w:color="auto" w:fill="EBF1DE" w:themeFill="accent3" w:themeFillTint="32"/>
              <w:rPr>
                <w:rFonts w:hint="eastAsia"/>
              </w:rPr>
            </w:pPr>
          </w:p>
          <w:p>
            <w:pPr>
              <w:shd w:val="clear" w:color="auto" w:fill="EBF1DE" w:themeFill="accent3" w:themeFillTint="32"/>
              <w:rPr>
                <w:rFonts w:hint="default" w:eastAsia="宋体"/>
                <w:lang w:val="en-US" w:eastAsia="zh-CN"/>
              </w:rPr>
            </w:pP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主要是视频监控设备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fill="EBF1DE" w:themeFill="accent3" w:themeFillTint="32"/>
              <w:rPr>
                <w:b/>
                <w:bCs/>
              </w:rPr>
            </w:pPr>
            <w:r>
              <w:rPr>
                <w:b/>
                <w:bCs/>
              </w:rPr>
              <w:t>与 PRP、危害控制计划有关的验证</w:t>
            </w:r>
          </w:p>
          <w:p>
            <w:pPr>
              <w:shd w:val="clear" w:color="auto" w:fill="EBF1DE" w:themeFill="accent3" w:themeFillTint="32"/>
            </w:pPr>
            <w:r>
              <w:t>组织建立、 实施和保持验证活动， 规定验证活动的目的、方法、频次和职责。</w:t>
            </w:r>
          </w:p>
          <w:p>
            <w:pPr>
              <w:shd w:val="clear" w:color="auto" w:fill="EBF1DE" w:themeFill="accent3" w:themeFillTint="32"/>
            </w:pPr>
            <w:r>
              <w:t>验证活动应证实：</w:t>
            </w:r>
          </w:p>
          <w:p>
            <w:pPr>
              <w:shd w:val="clear" w:color="auto" w:fill="EBF1DE" w:themeFill="accent3" w:themeFillTint="32"/>
            </w:pPr>
            <w:r>
              <w:t>a) PRP已实施且有效；</w:t>
            </w:r>
          </w:p>
          <w:p>
            <w:pPr>
              <w:shd w:val="clear" w:color="auto" w:fill="EBF1DE" w:themeFill="accent3" w:themeFillTint="32"/>
            </w:pPr>
            <w:r>
              <w:t>b) 危险源控制计划实施有效；</w:t>
            </w:r>
          </w:p>
          <w:p>
            <w:pPr>
              <w:shd w:val="clear" w:color="auto" w:fill="EBF1DE" w:themeFill="accent3" w:themeFillTint="32"/>
            </w:pPr>
            <w:r>
              <w:t>c) 危害水平在确定的可接受水平之内；</w:t>
            </w:r>
          </w:p>
          <w:p>
            <w:pPr>
              <w:shd w:val="clear" w:color="auto" w:fill="EBF1DE" w:themeFill="accent3" w:themeFillTint="32"/>
            </w:pPr>
            <w:r>
              <w:t>d) 危害分析输入的更新</w:t>
            </w:r>
          </w:p>
          <w:p>
            <w:pPr>
              <w:shd w:val="clear" w:color="auto" w:fill="EBF1DE" w:themeFill="accent3" w:themeFillTint="32"/>
            </w:pPr>
            <w:r>
              <w:t>e) 组织确定的其他措施得以实施且有效。</w:t>
            </w:r>
          </w:p>
          <w:p>
            <w:pPr>
              <w:shd w:val="clear" w:color="auto" w:fill="EBF1DE" w:themeFill="accent3" w:themeFillTint="32"/>
            </w:pPr>
            <w:r>
              <w:t>食品安全小组对验证结果进行分析，并将其作为食品安全管理体系绩效评估的输入</w:t>
            </w:r>
          </w:p>
          <w:p>
            <w:pPr>
              <w:shd w:val="clear" w:fill="EBF1DE" w:themeFill="accent3" w:themeFillTint="32"/>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22</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30</w:t>
            </w:r>
            <w:r>
              <w:rPr>
                <w:rFonts w:hint="eastAsia"/>
                <w:color w:val="0000FF"/>
                <w:szCs w:val="21"/>
              </w:rPr>
              <w:t>日，进行验证了PRP。</w:t>
            </w:r>
          </w:p>
          <w:p>
            <w:pPr>
              <w:shd w:val="clear" w:fill="EBF1DE" w:themeFill="accent3" w:themeFillTint="32"/>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22</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08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30</w:t>
            </w:r>
            <w:r>
              <w:rPr>
                <w:rFonts w:hint="eastAsia"/>
                <w:color w:val="0000FF"/>
                <w:szCs w:val="21"/>
              </w:rPr>
              <w:t>日，进行验证了危害控制计划</w:t>
            </w:r>
            <w:r>
              <w:rPr>
                <w:rFonts w:hint="eastAsia"/>
                <w:color w:val="0000FF"/>
                <w:szCs w:val="21"/>
                <w:lang w:eastAsia="zh-CN"/>
              </w:rPr>
              <w:t>（</w:t>
            </w:r>
            <w:r>
              <w:rPr>
                <w:rFonts w:hint="eastAsia"/>
                <w:color w:val="0000FF"/>
                <w:szCs w:val="21"/>
                <w:lang w:val="en-US" w:eastAsia="zh-CN"/>
              </w:rPr>
              <w:t>OPRP计划/HACCP计划</w:t>
            </w:r>
            <w:r>
              <w:rPr>
                <w:rFonts w:hint="eastAsia"/>
                <w:color w:val="0000FF"/>
                <w:szCs w:val="21"/>
                <w:lang w:eastAsia="zh-CN"/>
              </w:rPr>
              <w:t>）</w:t>
            </w:r>
            <w:r>
              <w:rPr>
                <w:rFonts w:hint="eastAsia"/>
                <w:color w:val="0000FF"/>
                <w:szCs w:val="21"/>
              </w:rPr>
              <w:t>。</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b/>
                <w:bCs/>
                <w:highlight w:val="none"/>
              </w:rPr>
            </w:pPr>
            <w:r>
              <w:rPr>
                <w:b/>
                <w:bCs/>
                <w:highlight w:val="none"/>
              </w:rPr>
              <w:t>不合</w:t>
            </w:r>
            <w:r>
              <w:rPr>
                <w:rFonts w:hint="eastAsia"/>
                <w:b/>
                <w:bCs/>
                <w:highlight w:val="none"/>
              </w:rPr>
              <w:t>格</w:t>
            </w:r>
            <w:r>
              <w:rPr>
                <w:b/>
                <w:bCs/>
                <w:highlight w:val="none"/>
              </w:rPr>
              <w:t>产品</w:t>
            </w:r>
            <w:r>
              <w:rPr>
                <w:rFonts w:hint="eastAsia"/>
                <w:b/>
                <w:bCs/>
                <w:highlight w:val="none"/>
              </w:rPr>
              <w:t>和过程</w:t>
            </w:r>
            <w:r>
              <w:rPr>
                <w:b/>
                <w:bCs/>
                <w:highlight w:val="none"/>
              </w:rPr>
              <w:t>的控制</w:t>
            </w:r>
          </w:p>
          <w:p>
            <w:pPr>
              <w:shd w:val="clear" w:color="auto"/>
              <w:rPr>
                <w:highlight w:val="none"/>
              </w:rPr>
            </w:pPr>
            <w:r>
              <w:rPr>
                <w:highlight w:val="none"/>
              </w:rPr>
              <w:t>组织确保来由有能力并有权发起纠正和纠正措施的指定人员进行评估OPRP和CCPs监测的数据。</w:t>
            </w:r>
          </w:p>
          <w:p>
            <w:pPr>
              <w:shd w:val="clear" w:color="auto"/>
              <w:rPr>
                <w:highlight w:val="none"/>
              </w:rPr>
            </w:pPr>
            <w:r>
              <w:rPr>
                <w:highlight w:val="none"/>
              </w:rPr>
              <w:t>组织确保当CCP的关键限值超出时， 或OPRP计划失控时， 根据产品的用途和放行要求， 识别和控制受影响的产品。包括：</w:t>
            </w:r>
          </w:p>
          <w:p>
            <w:pPr>
              <w:shd w:val="clear" w:color="auto"/>
              <w:rPr>
                <w:highlight w:val="none"/>
              </w:rPr>
            </w:pPr>
            <w:r>
              <w:rPr>
                <w:highlight w:val="none"/>
              </w:rPr>
              <w:t>a） 受影响产品的识别、评估和纠正方法，以确保其正确处理；</w:t>
            </w:r>
          </w:p>
          <w:p>
            <w:pPr>
              <w:shd w:val="clear" w:color="auto"/>
              <w:rPr>
                <w:highlight w:val="none"/>
              </w:rPr>
            </w:pPr>
            <w:r>
              <w:rPr>
                <w:highlight w:val="none"/>
              </w:rPr>
              <w:t>b） 评审所作更正的安排。</w:t>
            </w:r>
          </w:p>
          <w:p>
            <w:pPr>
              <w:shd w:val="clear" w:color="auto"/>
              <w:rPr>
                <w:highlight w:val="none"/>
              </w:rPr>
            </w:pPr>
            <w:r>
              <w:rPr>
                <w:highlight w:val="none"/>
              </w:rPr>
              <w:t>对不能放行的产品：</w:t>
            </w:r>
          </w:p>
          <w:p>
            <w:pPr>
              <w:shd w:val="clear" w:color="auto"/>
              <w:rPr>
                <w:highlight w:val="none"/>
              </w:rPr>
            </w:pPr>
            <w:r>
              <w:rPr>
                <w:highlight w:val="none"/>
              </w:rPr>
              <w:t>a) 在组织内或组织外重新加工或进一步加工， 以确保食品安全危害得到消除或降至可接受水平；</w:t>
            </w:r>
          </w:p>
          <w:p>
            <w:pPr>
              <w:shd w:val="clear" w:color="auto"/>
              <w:rPr>
                <w:highlight w:val="none"/>
              </w:rPr>
            </w:pPr>
            <w:r>
              <w:rPr>
                <w:highlight w:val="none"/>
              </w:rPr>
              <w:t>b) 只要食品链中的食品安全不受影响， 可改做其它用途；</w:t>
            </w:r>
          </w:p>
          <w:p>
            <w:pPr>
              <w:shd w:val="clear" w:color="auto"/>
              <w:rPr>
                <w:highlight w:val="none"/>
              </w:rPr>
            </w:pPr>
            <w:r>
              <w:rPr>
                <w:highlight w:val="none"/>
              </w:rPr>
              <w:t>c) 销毁和（或） 按废物处理。</w:t>
            </w:r>
          </w:p>
          <w:p>
            <w:pPr>
              <w:shd w:val="clear" w:color="auto"/>
              <w:rPr>
                <w:highlight w:val="none"/>
              </w:rPr>
            </w:pPr>
          </w:p>
          <w:p>
            <w:pPr>
              <w:shd w:val="clear" w:color="auto"/>
              <w:rPr>
                <w:highlight w:val="none"/>
              </w:rPr>
            </w:pPr>
            <w:r>
              <w:rPr>
                <w:rFonts w:hint="eastAsia"/>
                <w:highlight w:val="none"/>
              </w:rPr>
              <w:t xml:space="preserve">近一年来，☑未发生 </w:t>
            </w:r>
            <w:r>
              <w:rPr>
                <w:rFonts w:hint="eastAsia"/>
                <w:highlight w:val="none"/>
              </w:rPr>
              <w:sym w:font="Wingdings" w:char="00A8"/>
            </w:r>
            <w:r>
              <w:rPr>
                <w:rFonts w:hint="eastAsia"/>
                <w:highlight w:val="none"/>
              </w:rPr>
              <w:t>发生过 ，说明：</w:t>
            </w:r>
            <w:r>
              <w:rPr>
                <w:rFonts w:hint="eastAsia"/>
                <w:highlight w:val="none"/>
                <w:u w:val="single"/>
              </w:rPr>
              <w:t xml:space="preserve">                                         </w:t>
            </w:r>
            <w:r>
              <w:rPr>
                <w:rFonts w:hint="eastAsia"/>
                <w:highlight w:val="none"/>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fill="EBF1DE" w:themeFill="accent3" w:themeFillTint="32"/>
            </w:pPr>
            <w:r>
              <w:rPr>
                <w:b/>
                <w:bCs/>
              </w:rPr>
              <w:t>潜在不安全产品的处置</w:t>
            </w:r>
          </w:p>
          <w:p>
            <w:pPr>
              <w:shd w:val="clear" w:color="auto" w:fill="EBF1DE" w:themeFill="accent3" w:themeFillTint="32"/>
            </w:pPr>
            <w:r>
              <w:t>组织采取措施防止潜在的不安全产品进入食物链，证明</w:t>
            </w:r>
            <w:r>
              <w:rPr>
                <w:rFonts w:hint="eastAsia"/>
              </w:rPr>
              <w:t>其</w:t>
            </w:r>
            <w:r>
              <w:t>：</w:t>
            </w:r>
          </w:p>
          <w:p>
            <w:pPr>
              <w:shd w:val="clear" w:color="auto" w:fill="EBF1DE" w:themeFill="accent3" w:themeFillTint="32"/>
            </w:pPr>
            <w:r>
              <w:t>a） 相关的食品安全危害降低到规定的可接受水平；</w:t>
            </w:r>
          </w:p>
          <w:p>
            <w:pPr>
              <w:shd w:val="clear" w:color="auto" w:fill="EBF1DE" w:themeFill="accent3" w:themeFillTint="32"/>
            </w:pPr>
            <w:r>
              <w:t>b） 相关的食品安全危害将在进入食品链之前降低到可接受的水平；</w:t>
            </w:r>
          </w:p>
          <w:p>
            <w:pPr>
              <w:shd w:val="clear" w:color="auto" w:fill="EBF1DE" w:themeFill="accent3" w:themeFillTint="32"/>
            </w:pPr>
            <w:r>
              <w:t>c） 尽管不符合，但产品仍能满足规定的相关食品安全危害的可接受水平。</w:t>
            </w:r>
          </w:p>
          <w:p>
            <w:pPr>
              <w:shd w:val="clear" w:color="auto" w:fill="EBF1DE" w:themeFill="accent3" w:themeFillTint="32"/>
            </w:pPr>
            <w:r>
              <w:t>组织将已识别为潜在不安全的产品保留在其控制之中，直到产品经过评估并确定处置为止。</w:t>
            </w:r>
          </w:p>
          <w:p>
            <w:pPr>
              <w:shd w:val="clear" w:color="auto" w:fill="EBF1DE" w:themeFill="accent3" w:themeFillTint="32"/>
            </w:pPr>
            <w:r>
              <w:t>如果随后确定离开组织控制的产品不安全，组织应通知相关相关方并启动撤回/召回。</w:t>
            </w:r>
          </w:p>
          <w:p>
            <w:pPr>
              <w:shd w:val="clear" w:color="auto" w:fill="EBF1DE" w:themeFill="accent3" w:themeFillTint="32"/>
            </w:pPr>
          </w:p>
          <w:p>
            <w:pPr>
              <w:shd w:val="clear" w:color="auto"/>
              <w:rPr>
                <w:highlight w:val="none"/>
              </w:rPr>
            </w:pPr>
            <w:r>
              <w:rPr>
                <w:rFonts w:hint="eastAsia"/>
                <w:highlight w:val="none"/>
              </w:rPr>
              <w:t>组织确保对不符合要求的产品或过程进行识别和控制，以防止非预期的使用或交付。</w:t>
            </w:r>
          </w:p>
          <w:p>
            <w:pPr>
              <w:shd w:val="clear" w:color="auto"/>
            </w:pPr>
            <w:r>
              <w:rPr>
                <w:rFonts w:hint="eastAsia"/>
                <w:highlight w:val="none"/>
              </w:rPr>
              <w:t>不合格产品或过程控制：</w:t>
            </w:r>
            <w:r>
              <w:rPr>
                <w:rFonts w:hint="eastAsia"/>
                <w:highlight w:val="none"/>
                <w:lang w:eastAsia="zh-CN"/>
              </w:rPr>
              <w:sym w:font="Wingdings 2" w:char="0052"/>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pPr>
            <w:r>
              <w:rPr>
                <w:rFonts w:hint="eastAsia"/>
              </w:rPr>
              <w:t>产品撤回/召回</w:t>
            </w:r>
          </w:p>
          <w:p>
            <w:pPr>
              <w:shd w:val="clea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6"/>
              </w:numPr>
              <w:shd w:val="clear"/>
              <w:spacing w:before="40" w:after="40"/>
              <w:rPr>
                <w:szCs w:val="21"/>
              </w:rPr>
            </w:pPr>
            <w:r>
              <w:rPr>
                <w:szCs w:val="21"/>
              </w:rPr>
              <w:t>启动和实施产品召回计划人员的职责和权限</w:t>
            </w:r>
          </w:p>
          <w:p>
            <w:pPr>
              <w:widowControl/>
              <w:numPr>
                <w:ilvl w:val="0"/>
                <w:numId w:val="6"/>
              </w:numPr>
              <w:shd w:val="clear"/>
              <w:spacing w:before="40" w:after="40"/>
              <w:rPr>
                <w:szCs w:val="21"/>
              </w:rPr>
            </w:pPr>
            <w:r>
              <w:rPr>
                <w:szCs w:val="21"/>
              </w:rPr>
              <w:t>产品召回行动需符合的相关法律、法规和其他相关要求</w:t>
            </w:r>
          </w:p>
          <w:p>
            <w:pPr>
              <w:widowControl/>
              <w:numPr>
                <w:ilvl w:val="0"/>
                <w:numId w:val="6"/>
              </w:numPr>
              <w:shd w:val="clear"/>
              <w:spacing w:before="40" w:after="40"/>
              <w:rPr>
                <w:szCs w:val="21"/>
              </w:rPr>
            </w:pPr>
            <w:r>
              <w:rPr>
                <w:szCs w:val="21"/>
              </w:rPr>
              <w:t>制定并实施受安全危害影响产品的召回措施</w:t>
            </w:r>
          </w:p>
          <w:p>
            <w:pPr>
              <w:widowControl/>
              <w:numPr>
                <w:ilvl w:val="0"/>
                <w:numId w:val="6"/>
              </w:numPr>
              <w:shd w:val="clear"/>
              <w:spacing w:before="40" w:after="40"/>
              <w:rPr>
                <w:szCs w:val="21"/>
              </w:rPr>
            </w:pPr>
            <w:r>
              <w:rPr>
                <w:szCs w:val="21"/>
              </w:rPr>
              <w:t>制定对召回的产品进行分析和处置的措施；</w:t>
            </w:r>
          </w:p>
          <w:p>
            <w:pPr>
              <w:shd w:val="clear"/>
              <w:rPr>
                <w:szCs w:val="21"/>
              </w:rPr>
            </w:pPr>
            <w:r>
              <w:rPr>
                <w:rFonts w:hint="eastAsia"/>
                <w:szCs w:val="21"/>
              </w:rPr>
              <w:t>实际发生的产品</w:t>
            </w:r>
            <w:r>
              <w:rPr>
                <w:szCs w:val="21"/>
              </w:rPr>
              <w:t>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shd w:val="clea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shd w:val="clea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rPr>
                <w:szCs w:val="21"/>
                <w:highlight w:val="none"/>
              </w:rPr>
            </w:pPr>
            <w:r>
              <w:rPr>
                <w:rFonts w:hint="eastAsia"/>
                <w:szCs w:val="21"/>
                <w:highlight w:val="none"/>
                <w:u w:val="single"/>
              </w:rPr>
              <w:t xml:space="preserve">    </w:t>
            </w:r>
            <w:r>
              <w:rPr>
                <w:szCs w:val="21"/>
                <w:highlight w:val="none"/>
                <w:u w:val="single"/>
              </w:rPr>
              <w:t>20</w:t>
            </w:r>
            <w:r>
              <w:rPr>
                <w:rFonts w:hint="eastAsia"/>
                <w:szCs w:val="21"/>
                <w:highlight w:val="none"/>
                <w:u w:val="single"/>
                <w:lang w:val="en-US" w:eastAsia="zh-CN"/>
              </w:rPr>
              <w:t>22</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 xml:space="preserve">5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18 </w:t>
            </w:r>
            <w:r>
              <w:rPr>
                <w:rFonts w:hint="eastAsia"/>
                <w:szCs w:val="21"/>
                <w:highlight w:val="none"/>
              </w:rPr>
              <w:t>日进行了召回演练，产品</w:t>
            </w:r>
            <w:r>
              <w:rPr>
                <w:rFonts w:hint="eastAsia"/>
                <w:szCs w:val="21"/>
                <w:highlight w:val="none"/>
                <w:lang w:eastAsia="zh-CN"/>
              </w:rPr>
              <w:t>：</w:t>
            </w:r>
            <w:r>
              <w:rPr>
                <w:rFonts w:hint="eastAsia"/>
                <w:szCs w:val="21"/>
                <w:highlight w:val="none"/>
                <w:u w:val="single"/>
                <w:lang w:eastAsia="zh-CN"/>
              </w:rPr>
              <w:t>（</w:t>
            </w:r>
            <w:r>
              <w:rPr>
                <w:rFonts w:hint="eastAsia"/>
                <w:szCs w:val="21"/>
                <w:highlight w:val="none"/>
                <w:u w:val="single"/>
                <w:lang w:val="en-US" w:eastAsia="zh-CN"/>
              </w:rPr>
              <w:t>批号</w:t>
            </w:r>
            <w:r>
              <w:rPr>
                <w:rFonts w:hint="eastAsia"/>
                <w:szCs w:val="21"/>
                <w:highlight w:val="none"/>
                <w:u w:val="single"/>
                <w:lang w:eastAsia="zh-CN"/>
              </w:rPr>
              <w:t>20220517）存在血腿情况【</w:t>
            </w:r>
            <w:r>
              <w:rPr>
                <w:rFonts w:hint="eastAsia"/>
                <w:szCs w:val="21"/>
                <w:highlight w:val="none"/>
                <w:u w:val="single"/>
                <w:lang w:val="en-US" w:eastAsia="zh-CN"/>
              </w:rPr>
              <w:t>模拟</w:t>
            </w:r>
            <w:r>
              <w:rPr>
                <w:rFonts w:hint="eastAsia"/>
                <w:szCs w:val="21"/>
                <w:highlight w:val="none"/>
                <w:u w:val="single"/>
                <w:lang w:eastAsia="zh-CN"/>
              </w:rPr>
              <w:t>】</w:t>
            </w:r>
            <w:r>
              <w:rPr>
                <w:rFonts w:hint="eastAsia"/>
                <w:szCs w:val="21"/>
                <w:highlight w:val="none"/>
                <w:u w:val="single"/>
              </w:rPr>
              <w:t xml:space="preserve">   </w:t>
            </w:r>
            <w:r>
              <w:rPr>
                <w:rFonts w:hint="eastAsia"/>
                <w:szCs w:val="21"/>
                <w:highlight w:val="none"/>
              </w:rPr>
              <w:t>，处置有效性</w:t>
            </w:r>
            <w:r>
              <w:rPr>
                <w:rFonts w:hint="eastAsia"/>
                <w:szCs w:val="21"/>
                <w:highlight w:val="none"/>
                <w:u w:val="single"/>
              </w:rPr>
              <w:t xml:space="preserve">   </w:t>
            </w:r>
            <w:r>
              <w:rPr>
                <w:rFonts w:hint="eastAsia"/>
                <w:highlight w:val="none"/>
                <w:lang w:eastAsia="zh-CN"/>
              </w:rPr>
              <w:sym w:font="Wingdings 2" w:char="0052"/>
            </w:r>
            <w:r>
              <w:rPr>
                <w:rFonts w:hint="eastAsia"/>
                <w:szCs w:val="21"/>
                <w:highlight w:val="none"/>
                <w:u w:val="single"/>
              </w:rPr>
              <w:t xml:space="preserve">良好/  </w:t>
            </w:r>
            <w:r>
              <w:rPr>
                <w:rFonts w:hint="eastAsia"/>
                <w:highlight w:val="none"/>
                <w:u w:val="single"/>
              </w:rPr>
              <w:sym w:font="Wingdings" w:char="00A8"/>
            </w:r>
            <w:r>
              <w:rPr>
                <w:rFonts w:hint="eastAsia"/>
                <w:szCs w:val="21"/>
                <w:highlight w:val="none"/>
                <w:u w:val="single"/>
              </w:rPr>
              <w:t xml:space="preserve">欠佳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restart"/>
            <w:shd w:val="clear" w:color="auto" w:fill="EBF1DE" w:themeFill="accent3" w:themeFillTint="32"/>
          </w:tcPr>
          <w:p>
            <w:pPr>
              <w:shd w:val="clear" w:color="auto"/>
            </w:pPr>
            <w:r>
              <w:rPr>
                <w:rFonts w:hint="eastAsia"/>
              </w:rPr>
              <w:t>绩效评价</w:t>
            </w:r>
          </w:p>
        </w:tc>
        <w:tc>
          <w:tcPr>
            <w:tcW w:w="9634" w:type="dxa"/>
            <w:shd w:val="clear" w:color="auto" w:fill="EBF1DE" w:themeFill="accent3" w:themeFillTint="32"/>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7"/>
              </w:numPr>
              <w:shd w:val="clear" w:color="auto"/>
            </w:pPr>
            <w:r>
              <w:rPr>
                <w:rFonts w:hint="eastAsia"/>
              </w:rPr>
              <w:t>PRP和危害控制计划</w:t>
            </w:r>
          </w:p>
          <w:p>
            <w:pPr>
              <w:numPr>
                <w:ilvl w:val="0"/>
                <w:numId w:val="7"/>
              </w:numPr>
              <w:shd w:val="clear" w:color="auto"/>
            </w:pPr>
            <w:r>
              <w:rPr>
                <w:rFonts w:hint="eastAsia"/>
              </w:rPr>
              <w:t>内部审核的结果</w:t>
            </w:r>
          </w:p>
          <w:p>
            <w:pPr>
              <w:numPr>
                <w:ilvl w:val="0"/>
                <w:numId w:val="7"/>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rPr>
                <w:rFonts w:hint="eastAsia" w:eastAsia="宋体"/>
                <w:lang w:val="en-US" w:eastAsia="zh-CN"/>
              </w:rPr>
            </w:pPr>
            <w:r>
              <w:rPr>
                <w:rFonts w:hint="eastAsia"/>
              </w:rPr>
              <w:t>e） 提供纠正和纠正措施有效的证据。</w:t>
            </w:r>
            <w:r>
              <w:rPr>
                <w:rFonts w:hint="eastAsia"/>
                <w:lang w:val="en-US" w:eastAsia="zh-CN"/>
              </w:rPr>
              <w:t>见——《验证分析报告》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highlight w:val="none"/>
                <w:u w:val="single"/>
              </w:rPr>
              <w:t>20</w:t>
            </w:r>
            <w:r>
              <w:rPr>
                <w:rFonts w:hint="eastAsia"/>
                <w:highlight w:val="none"/>
                <w:u w:val="single"/>
                <w:lang w:val="en-US" w:eastAsia="zh-CN"/>
              </w:rPr>
              <w:t>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6</w:t>
            </w:r>
            <w:r>
              <w:rPr>
                <w:rFonts w:hint="eastAsia"/>
                <w:highlight w:val="none"/>
                <w:u w:val="single"/>
              </w:rPr>
              <w:t xml:space="preserve"> </w:t>
            </w:r>
            <w:r>
              <w:rPr>
                <w:rFonts w:hint="eastAsia"/>
                <w:highlight w:val="none"/>
              </w:rPr>
              <w:t>月</w:t>
            </w:r>
            <w:r>
              <w:rPr>
                <w:rFonts w:hint="eastAsia"/>
                <w:highlight w:val="none"/>
                <w:u w:val="single"/>
                <w:lang w:val="en-US" w:eastAsia="zh-CN"/>
              </w:rPr>
              <w:t xml:space="preserve">22-24  </w:t>
            </w:r>
            <w:r>
              <w:rPr>
                <w:rFonts w:hint="eastAsia"/>
                <w:highlight w:val="none"/>
              </w:rPr>
              <w:t>日实施了食品安全管理体系内部审核，对食品安全管理体系的符合性和有效性进行了审核。内审发现的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对所有班次的现场操作已审核。</w:t>
            </w:r>
          </w:p>
          <w:p>
            <w:pPr>
              <w:shd w:val="clear" w:color="auto"/>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highlight w:val="none"/>
              </w:rPr>
              <w:t>最高管理者已按策划的时间间隔，在</w:t>
            </w:r>
            <w:r>
              <w:rPr>
                <w:rFonts w:hint="eastAsia"/>
                <w:highlight w:val="none"/>
                <w:u w:val="single"/>
              </w:rPr>
              <w:t xml:space="preserve">  </w:t>
            </w:r>
            <w:r>
              <w:rPr>
                <w:highlight w:val="none"/>
                <w:u w:val="single"/>
              </w:rPr>
              <w:t>202</w:t>
            </w:r>
            <w:r>
              <w:rPr>
                <w:rFonts w:hint="eastAsia"/>
                <w:highlight w:val="none"/>
                <w:u w:val="single"/>
                <w:lang w:val="en-US" w:eastAsia="zh-CN"/>
              </w:rPr>
              <w:t>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7</w:t>
            </w:r>
            <w:r>
              <w:rPr>
                <w:rFonts w:hint="eastAsia"/>
                <w:highlight w:val="none"/>
                <w:u w:val="single"/>
              </w:rPr>
              <w:t xml:space="preserve"> </w:t>
            </w:r>
            <w:r>
              <w:rPr>
                <w:rFonts w:hint="eastAsia"/>
                <w:highlight w:val="none"/>
              </w:rPr>
              <w:t>月</w:t>
            </w:r>
            <w:r>
              <w:rPr>
                <w:rFonts w:hint="eastAsia"/>
                <w:highlight w:val="none"/>
                <w:u w:val="single"/>
                <w:lang w:val="en-US" w:eastAsia="zh-CN"/>
              </w:rPr>
              <w:t>15</w:t>
            </w:r>
            <w:r>
              <w:rPr>
                <w:rFonts w:hint="eastAsia"/>
                <w:highlight w:val="none"/>
                <w:u w:val="single"/>
              </w:rPr>
              <w:t xml:space="preserve">  </w:t>
            </w:r>
            <w:r>
              <w:rPr>
                <w:rFonts w:hint="eastAsia"/>
                <w:highlight w:val="none"/>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EBF1DE" w:themeFill="accent3" w:themeFillTint="32"/>
          </w:tcPr>
          <w:p>
            <w:pPr>
              <w:shd w:val="clear" w:color="auto"/>
            </w:pPr>
            <w:r>
              <w:rPr>
                <w:rFonts w:hint="eastAsia"/>
              </w:rPr>
              <w:t>改进</w:t>
            </w:r>
          </w:p>
        </w:tc>
        <w:tc>
          <w:tcPr>
            <w:tcW w:w="9634" w:type="dxa"/>
            <w:shd w:val="clear" w:color="auto" w:fill="EBF1DE" w:themeFill="accent3" w:themeFillTint="32"/>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lang w:eastAsia="zh-CN"/>
              </w:rPr>
              <w:t>□</w:t>
            </w:r>
            <w:r>
              <w:rPr>
                <w:rFonts w:hint="eastAsia"/>
              </w:rPr>
              <w:t xml:space="preserve">不合格产品/服务 </w:t>
            </w:r>
            <w:r>
              <w:rPr>
                <w:rFonts w:hint="eastAsia"/>
                <w:lang w:eastAsia="zh-CN"/>
              </w:rPr>
              <w:sym w:font="Wingdings 2" w:char="0052"/>
            </w:r>
            <w:r>
              <w:rPr>
                <w:rFonts w:hint="eastAsia"/>
              </w:rPr>
              <w:t xml:space="preserve">自我验证的结果 </w:t>
            </w:r>
            <w:r>
              <w:rPr>
                <w:rFonts w:hint="eastAsia"/>
                <w:lang w:eastAsia="zh-CN"/>
              </w:rPr>
              <w:sym w:font="Wingdings 2" w:char="0052"/>
            </w:r>
            <w:r>
              <w:rPr>
                <w:rFonts w:hint="eastAsia"/>
              </w:rPr>
              <w:t xml:space="preserve">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pPr>
            <w:r>
              <w:rPr>
                <w:rFonts w:hint="eastAsia"/>
              </w:rPr>
              <w:t xml:space="preserve">☑内审不符合项   </w:t>
            </w:r>
            <w:r>
              <w:rPr>
                <w:rFonts w:hint="eastAsia"/>
              </w:rPr>
              <w:sym w:font="Wingdings" w:char="00FE"/>
            </w:r>
            <w:r>
              <w:rPr>
                <w:rFonts w:hint="eastAsia"/>
              </w:rPr>
              <w:t xml:space="preserve">外审不符合项 </w:t>
            </w:r>
            <w:r>
              <w:rPr>
                <w:rFonts w:hint="eastAsia"/>
                <w:lang w:eastAsia="zh-CN"/>
              </w:rPr>
              <w:sym w:font="Wingdings 2" w:char="0052"/>
            </w:r>
            <w:r>
              <w:rPr>
                <w:rFonts w:hint="eastAsia"/>
              </w:rPr>
              <w:t xml:space="preserve">管理评审   </w:t>
            </w:r>
            <w:r>
              <w:rPr>
                <w:rFonts w:hint="eastAsia"/>
                <w:lang w:eastAsia="zh-CN"/>
              </w:rPr>
              <w:sym w:font="Wingdings 2" w:char="0052"/>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组织持续改进FSMS的适宜性、充分性和有效性。</w:t>
            </w:r>
          </w:p>
          <w:p>
            <w:pPr>
              <w:shd w:val="clear" w:color="auto"/>
            </w:pPr>
            <w:r>
              <w:rPr>
                <w:rFonts w:hint="eastAsia"/>
              </w:rPr>
              <w:t>最高管理者应确保组织通过以下活动， 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最高管理者建立了确保FSMS持续更新的机制。为此，食品安全小组应按计划间隔对食品安全管理体系进行了评估。</w:t>
            </w:r>
          </w:p>
          <w:p>
            <w:pPr>
              <w:shd w:val="clear" w:color="auto"/>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近一年以来未发生更新</w:t>
            </w:r>
          </w:p>
        </w:tc>
      </w:tr>
    </w:tbl>
    <w:p>
      <w:pPr>
        <w:shd w:val="clear" w:color="auto"/>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标准条款</w:t>
            </w:r>
          </w:p>
        </w:tc>
        <w:tc>
          <w:tcPr>
            <w:tcW w:w="608" w:type="dxa"/>
            <w:shd w:val="clear" w:color="auto" w:fill="auto"/>
            <w:vAlign w:val="center"/>
          </w:tcPr>
          <w:p>
            <w:pPr>
              <w:shd w:val="clear" w:color="auto"/>
              <w:rPr>
                <w:lang w:eastAsia="ja-JP"/>
              </w:rPr>
            </w:pPr>
            <w:r>
              <w:rPr>
                <w:rFonts w:hint="eastAsia"/>
              </w:rPr>
              <w:t>4.1</w:t>
            </w:r>
          </w:p>
        </w:tc>
        <w:tc>
          <w:tcPr>
            <w:tcW w:w="630" w:type="dxa"/>
            <w:shd w:val="clear" w:color="auto" w:fill="auto"/>
            <w:vAlign w:val="center"/>
          </w:tcPr>
          <w:p>
            <w:pPr>
              <w:shd w:val="clear" w:color="auto"/>
              <w:rPr>
                <w:lang w:eastAsia="ja-JP"/>
              </w:rPr>
            </w:pPr>
            <w:r>
              <w:rPr>
                <w:rFonts w:hint="eastAsia"/>
              </w:rPr>
              <w:t>4.2</w:t>
            </w:r>
          </w:p>
        </w:tc>
        <w:tc>
          <w:tcPr>
            <w:tcW w:w="615" w:type="dxa"/>
            <w:shd w:val="clear" w:color="auto" w:fill="auto"/>
            <w:vAlign w:val="center"/>
          </w:tcPr>
          <w:p>
            <w:pPr>
              <w:shd w:val="clear" w:color="auto"/>
              <w:rPr>
                <w:lang w:eastAsia="ja-JP"/>
              </w:rPr>
            </w:pPr>
            <w:r>
              <w:rPr>
                <w:rFonts w:hint="eastAsia"/>
              </w:rPr>
              <w:t>4.3</w:t>
            </w:r>
          </w:p>
        </w:tc>
        <w:tc>
          <w:tcPr>
            <w:tcW w:w="645" w:type="dxa"/>
            <w:shd w:val="clear" w:color="auto" w:fill="auto"/>
            <w:vAlign w:val="center"/>
          </w:tcPr>
          <w:p>
            <w:pPr>
              <w:shd w:val="clear" w:color="auto"/>
              <w:rPr>
                <w:lang w:eastAsia="ja-JP"/>
              </w:rPr>
            </w:pPr>
            <w:r>
              <w:rPr>
                <w:rFonts w:hint="eastAsia"/>
              </w:rPr>
              <w:t>4.4</w:t>
            </w:r>
          </w:p>
        </w:tc>
        <w:tc>
          <w:tcPr>
            <w:tcW w:w="637" w:type="dxa"/>
            <w:shd w:val="clear" w:color="auto" w:fill="auto"/>
            <w:vAlign w:val="center"/>
          </w:tcPr>
          <w:p>
            <w:pPr>
              <w:shd w:val="clear" w:color="auto"/>
              <w:rPr>
                <w:lang w:eastAsia="ja-JP"/>
              </w:rPr>
            </w:pPr>
            <w:r>
              <w:rPr>
                <w:rFonts w:hint="eastAsia"/>
              </w:rPr>
              <w:t>5.1</w:t>
            </w:r>
          </w:p>
        </w:tc>
        <w:tc>
          <w:tcPr>
            <w:tcW w:w="623" w:type="dxa"/>
            <w:shd w:val="clear" w:color="auto" w:fill="auto"/>
            <w:vAlign w:val="center"/>
          </w:tcPr>
          <w:p>
            <w:pPr>
              <w:shd w:val="clear" w:color="auto"/>
              <w:rPr>
                <w:lang w:eastAsia="ja-JP"/>
              </w:rPr>
            </w:pPr>
            <w:r>
              <w:rPr>
                <w:rFonts w:hint="eastAsia"/>
              </w:rPr>
              <w:t>5.2</w:t>
            </w:r>
          </w:p>
        </w:tc>
        <w:tc>
          <w:tcPr>
            <w:tcW w:w="637" w:type="dxa"/>
            <w:shd w:val="clear" w:color="auto" w:fill="auto"/>
            <w:vAlign w:val="center"/>
          </w:tcPr>
          <w:p>
            <w:pPr>
              <w:shd w:val="clear" w:color="auto"/>
              <w:rPr>
                <w:lang w:eastAsia="ja-JP"/>
              </w:rPr>
            </w:pPr>
            <w:r>
              <w:rPr>
                <w:rFonts w:hint="eastAsia"/>
              </w:rPr>
              <w:t>5.3</w:t>
            </w:r>
          </w:p>
        </w:tc>
        <w:tc>
          <w:tcPr>
            <w:tcW w:w="688" w:type="dxa"/>
            <w:shd w:val="clear" w:color="auto" w:fill="auto"/>
            <w:vAlign w:val="center"/>
          </w:tcPr>
          <w:p>
            <w:pPr>
              <w:shd w:val="clear" w:color="auto"/>
              <w:rPr>
                <w:lang w:eastAsia="ja-JP"/>
              </w:rPr>
            </w:pPr>
            <w:r>
              <w:rPr>
                <w:rFonts w:hint="eastAsia"/>
              </w:rPr>
              <w:t>6.1</w:t>
            </w:r>
          </w:p>
        </w:tc>
        <w:tc>
          <w:tcPr>
            <w:tcW w:w="600" w:type="dxa"/>
            <w:shd w:val="clear" w:color="auto" w:fill="auto"/>
            <w:vAlign w:val="center"/>
          </w:tcPr>
          <w:p>
            <w:pPr>
              <w:shd w:val="clear" w:color="auto"/>
            </w:pPr>
            <w:r>
              <w:rPr>
                <w:rFonts w:hint="eastAsia"/>
              </w:rPr>
              <w:t>6.2</w:t>
            </w:r>
          </w:p>
        </w:tc>
        <w:tc>
          <w:tcPr>
            <w:tcW w:w="587" w:type="dxa"/>
            <w:shd w:val="clear" w:color="auto" w:fill="auto"/>
            <w:vAlign w:val="center"/>
          </w:tcPr>
          <w:p>
            <w:pPr>
              <w:shd w:val="clear" w:color="auto"/>
            </w:pPr>
            <w:r>
              <w:rPr>
                <w:rFonts w:hint="eastAsia"/>
              </w:rPr>
              <w:t>6.3</w:t>
            </w: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评价*)</w:t>
            </w:r>
          </w:p>
        </w:tc>
        <w:tc>
          <w:tcPr>
            <w:tcW w:w="608"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30" w:type="dxa"/>
            <w:shd w:val="clear" w:color="auto" w:fill="auto"/>
            <w:vAlign w:val="center"/>
          </w:tcPr>
          <w:p>
            <w:pPr>
              <w:shd w:val="clear" w:color="auto"/>
              <w:rPr>
                <w:lang w:eastAsia="ja-JP"/>
              </w:rPr>
            </w:pPr>
            <w:r>
              <w:rPr>
                <w:rFonts w:hint="eastAsia"/>
                <w:lang w:val="en-US" w:eastAsia="zh-CN"/>
              </w:rPr>
              <w:t>1</w:t>
            </w:r>
          </w:p>
        </w:tc>
        <w:tc>
          <w:tcPr>
            <w:tcW w:w="615" w:type="dxa"/>
            <w:shd w:val="clear" w:color="auto" w:fill="auto"/>
            <w:vAlign w:val="center"/>
          </w:tcPr>
          <w:p>
            <w:pPr>
              <w:shd w:val="clear" w:color="auto"/>
              <w:rPr>
                <w:lang w:eastAsia="ja-JP"/>
              </w:rPr>
            </w:pPr>
            <w:r>
              <w:rPr>
                <w:rFonts w:hint="eastAsia"/>
                <w:lang w:val="en-US" w:eastAsia="zh-CN"/>
              </w:rPr>
              <w:t>1</w:t>
            </w:r>
          </w:p>
        </w:tc>
        <w:tc>
          <w:tcPr>
            <w:tcW w:w="645" w:type="dxa"/>
            <w:shd w:val="clear" w:color="auto" w:fill="auto"/>
            <w:vAlign w:val="center"/>
          </w:tcPr>
          <w:p>
            <w:pPr>
              <w:shd w:val="clear" w:color="auto"/>
              <w:rPr>
                <w:lang w:eastAsia="ja-JP"/>
              </w:rPr>
            </w:pPr>
            <w:r>
              <w:rPr>
                <w:rFonts w:hint="eastAsia"/>
                <w:lang w:val="en-US" w:eastAsia="zh-CN"/>
              </w:rPr>
              <w:t>1</w:t>
            </w:r>
          </w:p>
        </w:tc>
        <w:tc>
          <w:tcPr>
            <w:tcW w:w="637" w:type="dxa"/>
            <w:shd w:val="clear" w:color="auto" w:fill="auto"/>
            <w:vAlign w:val="center"/>
          </w:tcPr>
          <w:p>
            <w:pPr>
              <w:shd w:val="clear" w:color="auto"/>
              <w:rPr>
                <w:lang w:eastAsia="ja-JP"/>
              </w:rPr>
            </w:pPr>
            <w:r>
              <w:rPr>
                <w:rFonts w:hint="eastAsia"/>
                <w:lang w:val="en-US" w:eastAsia="zh-CN"/>
              </w:rPr>
              <w:t>1</w:t>
            </w:r>
          </w:p>
        </w:tc>
        <w:tc>
          <w:tcPr>
            <w:tcW w:w="623" w:type="dxa"/>
            <w:shd w:val="clear" w:color="auto" w:fill="auto"/>
            <w:vAlign w:val="center"/>
          </w:tcPr>
          <w:p>
            <w:pPr>
              <w:shd w:val="clear" w:color="auto"/>
              <w:rPr>
                <w:lang w:eastAsia="ja-JP"/>
              </w:rPr>
            </w:pPr>
            <w:r>
              <w:rPr>
                <w:rFonts w:hint="eastAsia"/>
                <w:lang w:val="en-US" w:eastAsia="zh-CN"/>
              </w:rPr>
              <w:t>1</w:t>
            </w:r>
          </w:p>
        </w:tc>
        <w:tc>
          <w:tcPr>
            <w:tcW w:w="637" w:type="dxa"/>
            <w:shd w:val="clear" w:color="auto" w:fill="auto"/>
            <w:vAlign w:val="center"/>
          </w:tcPr>
          <w:p>
            <w:pPr>
              <w:shd w:val="clear" w:color="auto"/>
              <w:rPr>
                <w:lang w:eastAsia="ja-JP"/>
              </w:rPr>
            </w:pPr>
            <w:r>
              <w:rPr>
                <w:rFonts w:hint="eastAsia"/>
                <w:lang w:val="en-US" w:eastAsia="zh-CN"/>
              </w:rPr>
              <w:t>1</w:t>
            </w:r>
          </w:p>
        </w:tc>
        <w:tc>
          <w:tcPr>
            <w:tcW w:w="688" w:type="dxa"/>
            <w:shd w:val="clear" w:color="auto" w:fill="auto"/>
            <w:vAlign w:val="center"/>
          </w:tcPr>
          <w:p>
            <w:pPr>
              <w:shd w:val="clear" w:color="auto"/>
              <w:rPr>
                <w:lang w:eastAsia="ja-JP"/>
              </w:rPr>
            </w:pPr>
            <w:r>
              <w:rPr>
                <w:rFonts w:hint="eastAsia"/>
                <w:lang w:val="en-US" w:eastAsia="zh-CN"/>
              </w:rPr>
              <w:t>1</w:t>
            </w:r>
          </w:p>
        </w:tc>
        <w:tc>
          <w:tcPr>
            <w:tcW w:w="600" w:type="dxa"/>
            <w:shd w:val="clear" w:color="auto" w:fill="auto"/>
            <w:vAlign w:val="center"/>
          </w:tcPr>
          <w:p>
            <w:pPr>
              <w:shd w:val="clear" w:color="auto"/>
              <w:rPr>
                <w:lang w:eastAsia="ja-JP"/>
              </w:rPr>
            </w:pPr>
            <w:r>
              <w:rPr>
                <w:rFonts w:hint="eastAsia"/>
                <w:lang w:val="en-US" w:eastAsia="zh-CN"/>
              </w:rPr>
              <w:t>1</w:t>
            </w:r>
          </w:p>
        </w:tc>
        <w:tc>
          <w:tcPr>
            <w:tcW w:w="587" w:type="dxa"/>
            <w:shd w:val="clear" w:color="auto" w:fill="auto"/>
            <w:vAlign w:val="center"/>
          </w:tcPr>
          <w:p>
            <w:pPr>
              <w:shd w:val="clear" w:color="auto"/>
              <w:rPr>
                <w:lang w:eastAsia="ja-JP"/>
              </w:rPr>
            </w:pPr>
            <w:r>
              <w:rPr>
                <w:rFonts w:hint="eastAsia"/>
                <w:lang w:val="en-US" w:eastAsia="zh-CN"/>
              </w:rPr>
              <w:t>1</w:t>
            </w: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pPr>
            <w:r>
              <w:rPr>
                <w:rFonts w:hint="eastAsia"/>
              </w:rPr>
              <w:t>不符合数量</w:t>
            </w:r>
          </w:p>
        </w:tc>
        <w:tc>
          <w:tcPr>
            <w:tcW w:w="608" w:type="dxa"/>
            <w:shd w:val="clear" w:color="auto" w:fill="auto"/>
            <w:vAlign w:val="center"/>
          </w:tcPr>
          <w:p>
            <w:pPr>
              <w:shd w:val="clear" w:color="auto"/>
              <w:rPr>
                <w:lang w:eastAsia="ja-JP"/>
              </w:rPr>
            </w:pPr>
          </w:p>
        </w:tc>
        <w:tc>
          <w:tcPr>
            <w:tcW w:w="630" w:type="dxa"/>
            <w:shd w:val="clear" w:color="auto" w:fill="auto"/>
            <w:vAlign w:val="center"/>
          </w:tcPr>
          <w:p>
            <w:pPr>
              <w:shd w:val="clear" w:color="auto"/>
              <w:rPr>
                <w:lang w:eastAsia="ja-JP"/>
              </w:rPr>
            </w:pPr>
          </w:p>
        </w:tc>
        <w:tc>
          <w:tcPr>
            <w:tcW w:w="615" w:type="dxa"/>
            <w:shd w:val="clear" w:color="auto" w:fill="auto"/>
            <w:vAlign w:val="center"/>
          </w:tcPr>
          <w:p>
            <w:pPr>
              <w:shd w:val="clear" w:color="auto"/>
              <w:rPr>
                <w:lang w:eastAsia="ja-JP"/>
              </w:rPr>
            </w:pPr>
          </w:p>
        </w:tc>
        <w:tc>
          <w:tcPr>
            <w:tcW w:w="645" w:type="dxa"/>
            <w:shd w:val="clear" w:color="auto" w:fill="auto"/>
            <w:vAlign w:val="center"/>
          </w:tcPr>
          <w:p>
            <w:pPr>
              <w:shd w:val="clear" w:color="auto"/>
              <w:rPr>
                <w:lang w:eastAsia="ja-JP"/>
              </w:rPr>
            </w:pPr>
          </w:p>
        </w:tc>
        <w:tc>
          <w:tcPr>
            <w:tcW w:w="637" w:type="dxa"/>
            <w:shd w:val="clear" w:color="auto" w:fill="auto"/>
            <w:vAlign w:val="center"/>
          </w:tcPr>
          <w:p>
            <w:pPr>
              <w:shd w:val="clear" w:color="auto"/>
              <w:rPr>
                <w:lang w:eastAsia="ja-JP"/>
              </w:rPr>
            </w:pPr>
          </w:p>
        </w:tc>
        <w:tc>
          <w:tcPr>
            <w:tcW w:w="623" w:type="dxa"/>
            <w:shd w:val="clear" w:color="auto" w:fill="auto"/>
            <w:vAlign w:val="center"/>
          </w:tcPr>
          <w:p>
            <w:pPr>
              <w:shd w:val="clear" w:color="auto"/>
              <w:rPr>
                <w:lang w:eastAsia="ja-JP"/>
              </w:rPr>
            </w:pPr>
          </w:p>
        </w:tc>
        <w:tc>
          <w:tcPr>
            <w:tcW w:w="637" w:type="dxa"/>
            <w:shd w:val="clear" w:color="auto" w:fill="auto"/>
            <w:vAlign w:val="center"/>
          </w:tcPr>
          <w:p>
            <w:pPr>
              <w:shd w:val="clear" w:color="auto"/>
              <w:rPr>
                <w:lang w:eastAsia="ja-JP"/>
              </w:rPr>
            </w:pPr>
          </w:p>
        </w:tc>
        <w:tc>
          <w:tcPr>
            <w:tcW w:w="688" w:type="dxa"/>
            <w:shd w:val="clear" w:color="auto" w:fill="auto"/>
            <w:vAlign w:val="center"/>
          </w:tcPr>
          <w:p>
            <w:pPr>
              <w:shd w:val="clear" w:color="auto"/>
              <w:rPr>
                <w:lang w:eastAsia="ja-JP"/>
              </w:rPr>
            </w:pPr>
          </w:p>
        </w:tc>
        <w:tc>
          <w:tcPr>
            <w:tcW w:w="600" w:type="dxa"/>
            <w:shd w:val="clear" w:color="auto" w:fill="auto"/>
            <w:vAlign w:val="center"/>
          </w:tcPr>
          <w:p>
            <w:pPr>
              <w:shd w:val="clear" w:color="auto"/>
              <w:rPr>
                <w:lang w:eastAsia="ja-JP"/>
              </w:rPr>
            </w:pPr>
          </w:p>
        </w:tc>
        <w:tc>
          <w:tcPr>
            <w:tcW w:w="587"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标准条款</w:t>
            </w:r>
          </w:p>
        </w:tc>
        <w:tc>
          <w:tcPr>
            <w:tcW w:w="608" w:type="dxa"/>
            <w:shd w:val="clear" w:color="auto" w:fill="auto"/>
            <w:vAlign w:val="center"/>
          </w:tcPr>
          <w:p>
            <w:pPr>
              <w:shd w:val="clear" w:color="auto"/>
              <w:rPr>
                <w:lang w:eastAsia="ja-JP"/>
              </w:rPr>
            </w:pPr>
            <w:r>
              <w:rPr>
                <w:rFonts w:hint="eastAsia"/>
              </w:rPr>
              <w:t>7.1</w:t>
            </w:r>
          </w:p>
        </w:tc>
        <w:tc>
          <w:tcPr>
            <w:tcW w:w="630" w:type="dxa"/>
            <w:shd w:val="clear" w:color="auto" w:fill="auto"/>
            <w:vAlign w:val="center"/>
          </w:tcPr>
          <w:p>
            <w:pPr>
              <w:shd w:val="clear" w:color="auto"/>
              <w:rPr>
                <w:lang w:eastAsia="ja-JP"/>
              </w:rPr>
            </w:pPr>
            <w:r>
              <w:rPr>
                <w:rFonts w:hint="eastAsia"/>
              </w:rPr>
              <w:t>7.2</w:t>
            </w:r>
          </w:p>
        </w:tc>
        <w:tc>
          <w:tcPr>
            <w:tcW w:w="615" w:type="dxa"/>
            <w:shd w:val="clear" w:color="auto" w:fill="auto"/>
            <w:vAlign w:val="center"/>
          </w:tcPr>
          <w:p>
            <w:pPr>
              <w:shd w:val="clear" w:color="auto"/>
              <w:rPr>
                <w:lang w:eastAsia="ja-JP"/>
              </w:rPr>
            </w:pPr>
            <w:r>
              <w:rPr>
                <w:rFonts w:hint="eastAsia"/>
              </w:rPr>
              <w:t>7.3</w:t>
            </w:r>
          </w:p>
        </w:tc>
        <w:tc>
          <w:tcPr>
            <w:tcW w:w="645" w:type="dxa"/>
            <w:shd w:val="clear" w:color="auto" w:fill="auto"/>
            <w:vAlign w:val="center"/>
          </w:tcPr>
          <w:p>
            <w:pPr>
              <w:shd w:val="clear" w:color="auto"/>
              <w:rPr>
                <w:lang w:eastAsia="ja-JP"/>
              </w:rPr>
            </w:pPr>
            <w:r>
              <w:rPr>
                <w:rFonts w:hint="eastAsia"/>
              </w:rPr>
              <w:t>7.4</w:t>
            </w:r>
          </w:p>
        </w:tc>
        <w:tc>
          <w:tcPr>
            <w:tcW w:w="637" w:type="dxa"/>
            <w:shd w:val="clear" w:color="auto" w:fill="auto"/>
            <w:vAlign w:val="center"/>
          </w:tcPr>
          <w:p>
            <w:pPr>
              <w:shd w:val="clear" w:color="auto"/>
              <w:rPr>
                <w:lang w:eastAsia="ja-JP"/>
              </w:rPr>
            </w:pPr>
            <w:r>
              <w:rPr>
                <w:rFonts w:hint="eastAsia"/>
              </w:rPr>
              <w:t>7.5</w:t>
            </w:r>
          </w:p>
        </w:tc>
        <w:tc>
          <w:tcPr>
            <w:tcW w:w="623" w:type="dxa"/>
            <w:shd w:val="clear" w:color="auto" w:fill="auto"/>
            <w:vAlign w:val="center"/>
          </w:tcPr>
          <w:p>
            <w:pPr>
              <w:shd w:val="clear" w:color="auto"/>
              <w:rPr>
                <w:lang w:eastAsia="ja-JP"/>
              </w:rPr>
            </w:pPr>
            <w:r>
              <w:rPr>
                <w:rFonts w:hint="eastAsia"/>
              </w:rPr>
              <w:t>8.1</w:t>
            </w:r>
          </w:p>
        </w:tc>
        <w:tc>
          <w:tcPr>
            <w:tcW w:w="637" w:type="dxa"/>
            <w:shd w:val="clear" w:color="auto" w:fill="auto"/>
            <w:vAlign w:val="center"/>
          </w:tcPr>
          <w:p>
            <w:pPr>
              <w:shd w:val="clear" w:color="auto"/>
              <w:rPr>
                <w:lang w:eastAsia="ja-JP"/>
              </w:rPr>
            </w:pPr>
            <w:r>
              <w:rPr>
                <w:rFonts w:hint="eastAsia"/>
              </w:rPr>
              <w:t>8.2</w:t>
            </w:r>
          </w:p>
        </w:tc>
        <w:tc>
          <w:tcPr>
            <w:tcW w:w="688" w:type="dxa"/>
            <w:shd w:val="clear" w:color="auto" w:fill="auto"/>
            <w:vAlign w:val="center"/>
          </w:tcPr>
          <w:p>
            <w:pPr>
              <w:shd w:val="clear" w:color="auto"/>
              <w:rPr>
                <w:lang w:eastAsia="ja-JP"/>
              </w:rPr>
            </w:pPr>
            <w:r>
              <w:rPr>
                <w:rFonts w:hint="eastAsia"/>
              </w:rPr>
              <w:t>8.3</w:t>
            </w:r>
          </w:p>
        </w:tc>
        <w:tc>
          <w:tcPr>
            <w:tcW w:w="600" w:type="dxa"/>
            <w:shd w:val="clear" w:color="auto" w:fill="auto"/>
            <w:vAlign w:val="center"/>
          </w:tcPr>
          <w:p>
            <w:pPr>
              <w:shd w:val="clear" w:color="auto"/>
            </w:pPr>
            <w:r>
              <w:rPr>
                <w:rFonts w:hint="eastAsia"/>
              </w:rPr>
              <w:t>8.4</w:t>
            </w:r>
          </w:p>
        </w:tc>
        <w:tc>
          <w:tcPr>
            <w:tcW w:w="587" w:type="dxa"/>
            <w:shd w:val="clear" w:color="auto" w:fill="auto"/>
            <w:vAlign w:val="center"/>
          </w:tcPr>
          <w:p>
            <w:pPr>
              <w:shd w:val="clear" w:color="auto"/>
            </w:pPr>
            <w:r>
              <w:rPr>
                <w:rFonts w:hint="eastAsia"/>
              </w:rPr>
              <w:t>8.5</w:t>
            </w:r>
          </w:p>
        </w:tc>
        <w:tc>
          <w:tcPr>
            <w:tcW w:w="650" w:type="dxa"/>
            <w:shd w:val="clear" w:color="auto" w:fill="auto"/>
            <w:vAlign w:val="center"/>
          </w:tcPr>
          <w:p>
            <w:pPr>
              <w:shd w:val="clear" w:color="auto"/>
              <w:rPr>
                <w:lang w:eastAsia="ja-JP"/>
              </w:rPr>
            </w:pPr>
            <w:r>
              <w:rPr>
                <w:rFonts w:hint="eastAsia"/>
              </w:rPr>
              <w:t>8.6</w:t>
            </w:r>
          </w:p>
        </w:tc>
        <w:tc>
          <w:tcPr>
            <w:tcW w:w="649" w:type="dxa"/>
            <w:shd w:val="clear" w:color="auto" w:fill="auto"/>
            <w:vAlign w:val="center"/>
          </w:tcPr>
          <w:p>
            <w:pPr>
              <w:shd w:val="clear" w:color="auto"/>
              <w:rPr>
                <w:lang w:eastAsia="ja-JP"/>
              </w:rPr>
            </w:pPr>
            <w:r>
              <w:rPr>
                <w:rFonts w:hint="eastAsia"/>
              </w:rPr>
              <w:t>8.7</w:t>
            </w:r>
          </w:p>
        </w:tc>
        <w:tc>
          <w:tcPr>
            <w:tcW w:w="650" w:type="dxa"/>
            <w:shd w:val="clear" w:color="auto" w:fill="auto"/>
            <w:vAlign w:val="center"/>
          </w:tcPr>
          <w:p>
            <w:pPr>
              <w:shd w:val="clear" w:color="auto"/>
              <w:rPr>
                <w:lang w:eastAsia="ja-JP"/>
              </w:rPr>
            </w:pPr>
            <w:r>
              <w:rPr>
                <w:rFonts w:hint="eastAsia"/>
              </w:rPr>
              <w:t>8.8</w:t>
            </w:r>
          </w:p>
        </w:tc>
        <w:tc>
          <w:tcPr>
            <w:tcW w:w="650" w:type="dxa"/>
            <w:shd w:val="clear" w:color="auto" w:fill="auto"/>
            <w:vAlign w:val="center"/>
          </w:tcPr>
          <w:p>
            <w:pPr>
              <w:shd w:val="clear" w:color="auto"/>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评价*)</w:t>
            </w:r>
          </w:p>
        </w:tc>
        <w:tc>
          <w:tcPr>
            <w:tcW w:w="608" w:type="dxa"/>
            <w:shd w:val="clear" w:color="auto" w:fill="auto"/>
            <w:vAlign w:val="center"/>
          </w:tcPr>
          <w:p>
            <w:pPr>
              <w:shd w:val="clear" w:color="auto"/>
              <w:rPr>
                <w:lang w:eastAsia="ja-JP"/>
              </w:rPr>
            </w:pPr>
            <w:r>
              <w:rPr>
                <w:rFonts w:hint="eastAsia"/>
                <w:lang w:val="en-US" w:eastAsia="zh-CN"/>
              </w:rPr>
              <w:t>3</w:t>
            </w:r>
          </w:p>
        </w:tc>
        <w:tc>
          <w:tcPr>
            <w:tcW w:w="630" w:type="dxa"/>
            <w:shd w:val="clear" w:color="auto" w:fill="auto"/>
            <w:vAlign w:val="center"/>
          </w:tcPr>
          <w:p>
            <w:pPr>
              <w:shd w:val="clear" w:color="auto"/>
              <w:rPr>
                <w:lang w:eastAsia="ja-JP"/>
              </w:rPr>
            </w:pPr>
            <w:r>
              <w:rPr>
                <w:rFonts w:hint="eastAsia"/>
                <w:lang w:val="en-US" w:eastAsia="zh-CN"/>
              </w:rPr>
              <w:t>1</w:t>
            </w:r>
          </w:p>
        </w:tc>
        <w:tc>
          <w:tcPr>
            <w:tcW w:w="615" w:type="dxa"/>
            <w:shd w:val="clear" w:color="auto" w:fill="auto"/>
            <w:vAlign w:val="center"/>
          </w:tcPr>
          <w:p>
            <w:pPr>
              <w:shd w:val="clear" w:color="auto"/>
              <w:rPr>
                <w:lang w:eastAsia="ja-JP"/>
              </w:rPr>
            </w:pPr>
            <w:r>
              <w:rPr>
                <w:rFonts w:hint="eastAsia"/>
                <w:lang w:val="en-US" w:eastAsia="zh-CN"/>
              </w:rPr>
              <w:t>1</w:t>
            </w:r>
          </w:p>
        </w:tc>
        <w:tc>
          <w:tcPr>
            <w:tcW w:w="645" w:type="dxa"/>
            <w:shd w:val="clear" w:color="auto" w:fill="auto"/>
            <w:vAlign w:val="center"/>
          </w:tcPr>
          <w:p>
            <w:pPr>
              <w:shd w:val="clear" w:color="auto"/>
              <w:rPr>
                <w:lang w:eastAsia="ja-JP"/>
              </w:rPr>
            </w:pPr>
            <w:r>
              <w:rPr>
                <w:rFonts w:hint="eastAsia"/>
                <w:lang w:val="en-US" w:eastAsia="zh-CN"/>
              </w:rPr>
              <w:t>1</w:t>
            </w:r>
          </w:p>
        </w:tc>
        <w:tc>
          <w:tcPr>
            <w:tcW w:w="637" w:type="dxa"/>
            <w:shd w:val="clear" w:color="auto" w:fill="auto"/>
            <w:vAlign w:val="center"/>
          </w:tcPr>
          <w:p>
            <w:pPr>
              <w:shd w:val="clear" w:color="auto"/>
              <w:rPr>
                <w:lang w:eastAsia="ja-JP"/>
              </w:rPr>
            </w:pPr>
            <w:r>
              <w:rPr>
                <w:rFonts w:hint="eastAsia"/>
                <w:lang w:val="en-US" w:eastAsia="zh-CN"/>
              </w:rPr>
              <w:t>1</w:t>
            </w:r>
          </w:p>
        </w:tc>
        <w:tc>
          <w:tcPr>
            <w:tcW w:w="623" w:type="dxa"/>
            <w:shd w:val="clear" w:color="auto" w:fill="auto"/>
            <w:vAlign w:val="center"/>
          </w:tcPr>
          <w:p>
            <w:pPr>
              <w:shd w:val="clear" w:color="auto"/>
              <w:rPr>
                <w:lang w:eastAsia="ja-JP"/>
              </w:rPr>
            </w:pPr>
            <w:r>
              <w:rPr>
                <w:rFonts w:hint="eastAsia"/>
                <w:lang w:val="en-US" w:eastAsia="zh-CN"/>
              </w:rPr>
              <w:t>1</w:t>
            </w:r>
          </w:p>
        </w:tc>
        <w:tc>
          <w:tcPr>
            <w:tcW w:w="637" w:type="dxa"/>
            <w:shd w:val="clear" w:color="auto" w:fill="auto"/>
            <w:vAlign w:val="center"/>
          </w:tcPr>
          <w:p>
            <w:pPr>
              <w:shd w:val="clear" w:color="auto"/>
              <w:rPr>
                <w:lang w:eastAsia="ja-JP"/>
              </w:rPr>
            </w:pPr>
            <w:r>
              <w:rPr>
                <w:rFonts w:hint="eastAsia"/>
                <w:lang w:val="en-US" w:eastAsia="zh-CN"/>
              </w:rPr>
              <w:t>1</w:t>
            </w:r>
          </w:p>
        </w:tc>
        <w:tc>
          <w:tcPr>
            <w:tcW w:w="688" w:type="dxa"/>
            <w:shd w:val="clear" w:color="auto" w:fill="auto"/>
            <w:vAlign w:val="center"/>
          </w:tcPr>
          <w:p>
            <w:pPr>
              <w:shd w:val="clear" w:color="auto"/>
              <w:rPr>
                <w:lang w:eastAsia="ja-JP"/>
              </w:rPr>
            </w:pPr>
            <w:r>
              <w:rPr>
                <w:rFonts w:hint="eastAsia"/>
                <w:lang w:val="en-US" w:eastAsia="zh-CN"/>
              </w:rPr>
              <w:t>1</w:t>
            </w:r>
          </w:p>
        </w:tc>
        <w:tc>
          <w:tcPr>
            <w:tcW w:w="600" w:type="dxa"/>
            <w:shd w:val="clear" w:color="auto" w:fill="auto"/>
            <w:vAlign w:val="center"/>
          </w:tcPr>
          <w:p>
            <w:pPr>
              <w:shd w:val="clear" w:color="auto"/>
              <w:rPr>
                <w:lang w:eastAsia="ja-JP"/>
              </w:rPr>
            </w:pPr>
            <w:r>
              <w:rPr>
                <w:rFonts w:hint="eastAsia"/>
                <w:lang w:val="en-US" w:eastAsia="zh-CN"/>
              </w:rPr>
              <w:t>1</w:t>
            </w:r>
          </w:p>
        </w:tc>
        <w:tc>
          <w:tcPr>
            <w:tcW w:w="587" w:type="dxa"/>
            <w:shd w:val="clear" w:color="auto" w:fill="auto"/>
            <w:vAlign w:val="center"/>
          </w:tcPr>
          <w:p>
            <w:pPr>
              <w:shd w:val="clear" w:color="auto"/>
              <w:rPr>
                <w:lang w:eastAsia="ja-JP"/>
              </w:rPr>
            </w:pPr>
            <w:r>
              <w:rPr>
                <w:rFonts w:hint="eastAsia"/>
                <w:lang w:val="en-US" w:eastAsia="zh-CN"/>
              </w:rPr>
              <w:t>1</w:t>
            </w:r>
          </w:p>
        </w:tc>
        <w:tc>
          <w:tcPr>
            <w:tcW w:w="650" w:type="dxa"/>
            <w:shd w:val="clear" w:color="auto" w:fill="auto"/>
            <w:vAlign w:val="center"/>
          </w:tcPr>
          <w:p>
            <w:pPr>
              <w:shd w:val="clear" w:color="auto"/>
              <w:rPr>
                <w:lang w:eastAsia="ja-JP"/>
              </w:rPr>
            </w:pPr>
            <w:r>
              <w:rPr>
                <w:rFonts w:hint="eastAsia"/>
                <w:lang w:val="en-US" w:eastAsia="zh-CN"/>
              </w:rPr>
              <w:t>1</w:t>
            </w:r>
          </w:p>
        </w:tc>
        <w:tc>
          <w:tcPr>
            <w:tcW w:w="649" w:type="dxa"/>
            <w:shd w:val="clear" w:color="auto" w:fill="auto"/>
            <w:vAlign w:val="center"/>
          </w:tcPr>
          <w:p>
            <w:pPr>
              <w:shd w:val="clear" w:color="auto"/>
              <w:rPr>
                <w:lang w:eastAsia="ja-JP"/>
              </w:rPr>
            </w:pPr>
            <w:r>
              <w:rPr>
                <w:rFonts w:hint="eastAsia"/>
                <w:lang w:val="en-US" w:eastAsia="zh-CN"/>
              </w:rPr>
              <w:t>1</w:t>
            </w:r>
          </w:p>
        </w:tc>
        <w:tc>
          <w:tcPr>
            <w:tcW w:w="650" w:type="dxa"/>
            <w:shd w:val="clear" w:color="auto" w:fill="auto"/>
            <w:vAlign w:val="center"/>
          </w:tcPr>
          <w:p>
            <w:pPr>
              <w:shd w:val="clear" w:color="auto"/>
              <w:rPr>
                <w:lang w:eastAsia="ja-JP"/>
              </w:rPr>
            </w:pPr>
            <w:r>
              <w:rPr>
                <w:rFonts w:hint="eastAsia"/>
                <w:lang w:val="en-US" w:eastAsia="zh-CN"/>
              </w:rPr>
              <w:t>1</w:t>
            </w:r>
          </w:p>
        </w:tc>
        <w:tc>
          <w:tcPr>
            <w:tcW w:w="650" w:type="dxa"/>
            <w:shd w:val="clear" w:color="auto" w:fill="auto"/>
            <w:vAlign w:val="center"/>
          </w:tcPr>
          <w:p>
            <w:pPr>
              <w:shd w:val="clear" w:color="auto"/>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rPr>
              <w:t>不符合数量</w:t>
            </w:r>
          </w:p>
        </w:tc>
        <w:tc>
          <w:tcPr>
            <w:tcW w:w="608" w:type="dxa"/>
            <w:shd w:val="clear" w:color="auto" w:fill="auto"/>
            <w:vAlign w:val="center"/>
          </w:tcPr>
          <w:p>
            <w:pPr>
              <w:shd w:val="clear" w:color="auto"/>
              <w:rPr>
                <w:rFonts w:hint="default" w:eastAsia="宋体"/>
                <w:lang w:val="en-US" w:eastAsia="zh-CN"/>
              </w:rPr>
            </w:pPr>
            <w:r>
              <w:rPr>
                <w:rFonts w:hint="eastAsia"/>
                <w:lang w:val="en-US" w:eastAsia="zh-CN"/>
              </w:rPr>
              <w:t>01</w:t>
            </w:r>
          </w:p>
        </w:tc>
        <w:tc>
          <w:tcPr>
            <w:tcW w:w="630" w:type="dxa"/>
            <w:shd w:val="clear" w:color="auto" w:fill="auto"/>
            <w:vAlign w:val="center"/>
          </w:tcPr>
          <w:p>
            <w:pPr>
              <w:shd w:val="clear" w:color="auto"/>
              <w:rPr>
                <w:lang w:eastAsia="ja-JP"/>
              </w:rPr>
            </w:pPr>
          </w:p>
        </w:tc>
        <w:tc>
          <w:tcPr>
            <w:tcW w:w="615" w:type="dxa"/>
            <w:shd w:val="clear" w:color="auto" w:fill="auto"/>
            <w:vAlign w:val="center"/>
          </w:tcPr>
          <w:p>
            <w:pPr>
              <w:shd w:val="clear" w:color="auto"/>
              <w:rPr>
                <w:lang w:eastAsia="ja-JP"/>
              </w:rPr>
            </w:pPr>
          </w:p>
        </w:tc>
        <w:tc>
          <w:tcPr>
            <w:tcW w:w="645" w:type="dxa"/>
            <w:shd w:val="clear" w:color="auto" w:fill="auto"/>
            <w:vAlign w:val="center"/>
          </w:tcPr>
          <w:p>
            <w:pPr>
              <w:shd w:val="clear" w:color="auto"/>
              <w:rPr>
                <w:lang w:eastAsia="ja-JP"/>
              </w:rPr>
            </w:pPr>
          </w:p>
        </w:tc>
        <w:tc>
          <w:tcPr>
            <w:tcW w:w="637" w:type="dxa"/>
            <w:shd w:val="clear" w:color="auto" w:fill="auto"/>
            <w:vAlign w:val="center"/>
          </w:tcPr>
          <w:p>
            <w:pPr>
              <w:shd w:val="clear" w:color="auto"/>
              <w:rPr>
                <w:lang w:eastAsia="ja-JP"/>
              </w:rPr>
            </w:pPr>
          </w:p>
        </w:tc>
        <w:tc>
          <w:tcPr>
            <w:tcW w:w="623" w:type="dxa"/>
            <w:shd w:val="clear" w:color="auto" w:fill="auto"/>
            <w:vAlign w:val="center"/>
          </w:tcPr>
          <w:p>
            <w:pPr>
              <w:shd w:val="clear" w:color="auto"/>
              <w:rPr>
                <w:lang w:eastAsia="ja-JP"/>
              </w:rPr>
            </w:pPr>
          </w:p>
        </w:tc>
        <w:tc>
          <w:tcPr>
            <w:tcW w:w="637" w:type="dxa"/>
            <w:tcBorders>
              <w:bottom w:val="single" w:color="auto" w:sz="4" w:space="0"/>
            </w:tcBorders>
            <w:shd w:val="clear" w:color="auto" w:fill="auto"/>
            <w:vAlign w:val="center"/>
          </w:tcPr>
          <w:p>
            <w:pPr>
              <w:shd w:val="clear" w:color="auto"/>
              <w:rPr>
                <w:lang w:eastAsia="ja-JP"/>
              </w:rPr>
            </w:pPr>
          </w:p>
        </w:tc>
        <w:tc>
          <w:tcPr>
            <w:tcW w:w="688" w:type="dxa"/>
            <w:tcBorders>
              <w:bottom w:val="single" w:color="auto" w:sz="4" w:space="0"/>
            </w:tcBorders>
            <w:shd w:val="clear" w:color="auto" w:fill="auto"/>
            <w:vAlign w:val="center"/>
          </w:tcPr>
          <w:p>
            <w:pPr>
              <w:shd w:val="clear" w:color="auto"/>
              <w:rPr>
                <w:lang w:eastAsia="ja-JP"/>
              </w:rPr>
            </w:pPr>
          </w:p>
        </w:tc>
        <w:tc>
          <w:tcPr>
            <w:tcW w:w="600" w:type="dxa"/>
            <w:tcBorders>
              <w:bottom w:val="single" w:color="auto" w:sz="4" w:space="0"/>
            </w:tcBorders>
            <w:shd w:val="clear" w:color="auto" w:fill="auto"/>
            <w:vAlign w:val="center"/>
          </w:tcPr>
          <w:p>
            <w:pPr>
              <w:shd w:val="clear" w:color="auto"/>
              <w:rPr>
                <w:lang w:eastAsia="ja-JP"/>
              </w:rPr>
            </w:pPr>
          </w:p>
        </w:tc>
        <w:tc>
          <w:tcPr>
            <w:tcW w:w="587" w:type="dxa"/>
            <w:tcBorders>
              <w:bottom w:val="single" w:color="auto" w:sz="4" w:space="0"/>
            </w:tcBorders>
            <w:shd w:val="clear" w:color="auto" w:fill="auto"/>
            <w:vAlign w:val="center"/>
          </w:tcPr>
          <w:p>
            <w:pPr>
              <w:shd w:val="clear" w:color="auto"/>
              <w:rPr>
                <w:lang w:eastAsia="ja-JP"/>
              </w:rPr>
            </w:pPr>
          </w:p>
        </w:tc>
        <w:tc>
          <w:tcPr>
            <w:tcW w:w="650" w:type="dxa"/>
            <w:tcBorders>
              <w:bottom w:val="single" w:color="auto" w:sz="4" w:space="0"/>
            </w:tcBorders>
            <w:shd w:val="clear" w:color="auto" w:fill="auto"/>
            <w:vAlign w:val="center"/>
          </w:tcPr>
          <w:p>
            <w:pPr>
              <w:shd w:val="clear" w:color="auto"/>
              <w:rPr>
                <w:lang w:eastAsia="ja-JP"/>
              </w:rPr>
            </w:pPr>
          </w:p>
        </w:tc>
        <w:tc>
          <w:tcPr>
            <w:tcW w:w="649" w:type="dxa"/>
            <w:tcBorders>
              <w:bottom w:val="single" w:color="auto" w:sz="4" w:space="0"/>
            </w:tcBorders>
            <w:shd w:val="clear" w:color="auto" w:fill="auto"/>
            <w:vAlign w:val="center"/>
          </w:tcPr>
          <w:p>
            <w:pPr>
              <w:shd w:val="clear" w:color="auto"/>
              <w:rPr>
                <w:lang w:eastAsia="ja-JP"/>
              </w:rPr>
            </w:pPr>
          </w:p>
        </w:tc>
        <w:tc>
          <w:tcPr>
            <w:tcW w:w="650" w:type="dxa"/>
            <w:tcBorders>
              <w:bottom w:val="single" w:color="auto" w:sz="4" w:space="0"/>
            </w:tcBorders>
            <w:shd w:val="clear" w:color="auto" w:fill="auto"/>
            <w:vAlign w:val="center"/>
          </w:tcPr>
          <w:p>
            <w:pPr>
              <w:shd w:val="clear" w:color="auto"/>
              <w:rPr>
                <w:lang w:eastAsia="ja-JP"/>
              </w:rPr>
            </w:pPr>
          </w:p>
        </w:tc>
        <w:tc>
          <w:tcPr>
            <w:tcW w:w="650" w:type="dxa"/>
            <w:tcBorders>
              <w:bottom w:val="single" w:color="auto" w:sz="4" w:space="0"/>
            </w:tcBorders>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标准条款</w:t>
            </w:r>
          </w:p>
        </w:tc>
        <w:tc>
          <w:tcPr>
            <w:tcW w:w="608" w:type="dxa"/>
            <w:shd w:val="clear" w:color="auto" w:fill="auto"/>
            <w:vAlign w:val="center"/>
          </w:tcPr>
          <w:p>
            <w:pPr>
              <w:shd w:val="clear" w:color="auto"/>
              <w:rPr>
                <w:lang w:eastAsia="ja-JP"/>
              </w:rPr>
            </w:pPr>
            <w:r>
              <w:rPr>
                <w:rFonts w:hint="eastAsia"/>
              </w:rPr>
              <w:t>9.1</w:t>
            </w:r>
          </w:p>
        </w:tc>
        <w:tc>
          <w:tcPr>
            <w:tcW w:w="630" w:type="dxa"/>
            <w:shd w:val="clear" w:color="auto" w:fill="auto"/>
            <w:vAlign w:val="center"/>
          </w:tcPr>
          <w:p>
            <w:pPr>
              <w:shd w:val="clear" w:color="auto"/>
              <w:rPr>
                <w:lang w:eastAsia="ja-JP"/>
              </w:rPr>
            </w:pPr>
            <w:r>
              <w:rPr>
                <w:rFonts w:hint="eastAsia"/>
              </w:rPr>
              <w:t>9.2</w:t>
            </w:r>
          </w:p>
        </w:tc>
        <w:tc>
          <w:tcPr>
            <w:tcW w:w="615" w:type="dxa"/>
            <w:shd w:val="clear" w:color="auto" w:fill="auto"/>
            <w:vAlign w:val="center"/>
          </w:tcPr>
          <w:p>
            <w:pPr>
              <w:shd w:val="clear" w:color="auto"/>
              <w:rPr>
                <w:lang w:eastAsia="ja-JP"/>
              </w:rPr>
            </w:pPr>
            <w:r>
              <w:rPr>
                <w:rFonts w:hint="eastAsia"/>
              </w:rPr>
              <w:t>9.3</w:t>
            </w:r>
          </w:p>
        </w:tc>
        <w:tc>
          <w:tcPr>
            <w:tcW w:w="645" w:type="dxa"/>
            <w:shd w:val="clear" w:color="auto" w:fill="auto"/>
            <w:vAlign w:val="center"/>
          </w:tcPr>
          <w:p>
            <w:pPr>
              <w:shd w:val="clear" w:color="auto"/>
              <w:rPr>
                <w:lang w:eastAsia="ja-JP"/>
              </w:rPr>
            </w:pPr>
            <w:r>
              <w:rPr>
                <w:rFonts w:hint="eastAsia"/>
              </w:rPr>
              <w:t>10.1</w:t>
            </w:r>
          </w:p>
        </w:tc>
        <w:tc>
          <w:tcPr>
            <w:tcW w:w="637" w:type="dxa"/>
            <w:shd w:val="clear" w:color="auto" w:fill="auto"/>
            <w:vAlign w:val="center"/>
          </w:tcPr>
          <w:p>
            <w:pPr>
              <w:shd w:val="clear" w:color="auto"/>
              <w:rPr>
                <w:lang w:eastAsia="ja-JP"/>
              </w:rPr>
            </w:pPr>
            <w:r>
              <w:rPr>
                <w:rFonts w:hint="eastAsia"/>
              </w:rPr>
              <w:t>10.2</w:t>
            </w:r>
          </w:p>
        </w:tc>
        <w:tc>
          <w:tcPr>
            <w:tcW w:w="623" w:type="dxa"/>
            <w:shd w:val="clear" w:color="auto" w:fill="auto"/>
            <w:vAlign w:val="center"/>
          </w:tcPr>
          <w:p>
            <w:pPr>
              <w:shd w:val="clear" w:color="auto"/>
              <w:rPr>
                <w:lang w:eastAsia="ja-JP"/>
              </w:rPr>
            </w:pPr>
            <w:r>
              <w:rPr>
                <w:rFonts w:hint="eastAsia"/>
              </w:rPr>
              <w:t>10.3</w:t>
            </w:r>
          </w:p>
        </w:tc>
        <w:tc>
          <w:tcPr>
            <w:tcW w:w="637" w:type="dxa"/>
            <w:shd w:val="clear" w:color="auto" w:fill="auto"/>
            <w:vAlign w:val="center"/>
          </w:tcPr>
          <w:p>
            <w:pPr>
              <w:shd w:val="clear" w:color="auto"/>
              <w:rPr>
                <w:lang w:eastAsia="ja-JP"/>
              </w:rPr>
            </w:pPr>
          </w:p>
        </w:tc>
        <w:tc>
          <w:tcPr>
            <w:tcW w:w="688" w:type="dxa"/>
            <w:shd w:val="clear" w:color="auto" w:fill="auto"/>
            <w:vAlign w:val="center"/>
          </w:tcPr>
          <w:p>
            <w:pPr>
              <w:shd w:val="clear" w:color="auto"/>
              <w:rPr>
                <w:lang w:eastAsia="ja-JP"/>
              </w:rPr>
            </w:pPr>
          </w:p>
        </w:tc>
        <w:tc>
          <w:tcPr>
            <w:tcW w:w="600" w:type="dxa"/>
            <w:shd w:val="clear" w:color="auto" w:fill="auto"/>
            <w:vAlign w:val="center"/>
          </w:tcPr>
          <w:p>
            <w:pPr>
              <w:shd w:val="clear" w:color="auto"/>
              <w:rPr>
                <w:lang w:eastAsia="ja-JP"/>
              </w:rPr>
            </w:pPr>
          </w:p>
        </w:tc>
        <w:tc>
          <w:tcPr>
            <w:tcW w:w="587"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评价*)</w:t>
            </w:r>
          </w:p>
        </w:tc>
        <w:tc>
          <w:tcPr>
            <w:tcW w:w="608" w:type="dxa"/>
            <w:shd w:val="clear" w:color="auto" w:fill="auto"/>
            <w:vAlign w:val="center"/>
          </w:tcPr>
          <w:p>
            <w:pPr>
              <w:shd w:val="clear" w:color="auto"/>
              <w:rPr>
                <w:lang w:eastAsia="ja-JP"/>
              </w:rPr>
            </w:pPr>
            <w:r>
              <w:rPr>
                <w:rFonts w:hint="eastAsia"/>
                <w:lang w:val="en-US" w:eastAsia="zh-CN"/>
              </w:rPr>
              <w:t>1</w:t>
            </w:r>
          </w:p>
        </w:tc>
        <w:tc>
          <w:tcPr>
            <w:tcW w:w="630" w:type="dxa"/>
            <w:shd w:val="clear" w:color="auto" w:fill="auto"/>
            <w:vAlign w:val="center"/>
          </w:tcPr>
          <w:p>
            <w:pPr>
              <w:shd w:val="clear" w:color="auto"/>
              <w:rPr>
                <w:lang w:eastAsia="ja-JP"/>
              </w:rPr>
            </w:pPr>
            <w:r>
              <w:rPr>
                <w:rFonts w:hint="eastAsia"/>
                <w:lang w:val="en-US" w:eastAsia="zh-CN"/>
              </w:rPr>
              <w:t>1</w:t>
            </w:r>
          </w:p>
        </w:tc>
        <w:tc>
          <w:tcPr>
            <w:tcW w:w="615" w:type="dxa"/>
            <w:shd w:val="clear" w:color="auto" w:fill="auto"/>
            <w:vAlign w:val="center"/>
          </w:tcPr>
          <w:p>
            <w:pPr>
              <w:shd w:val="clear" w:color="auto"/>
              <w:rPr>
                <w:lang w:eastAsia="ja-JP"/>
              </w:rPr>
            </w:pPr>
            <w:r>
              <w:rPr>
                <w:rFonts w:hint="eastAsia"/>
                <w:lang w:val="en-US" w:eastAsia="zh-CN"/>
              </w:rPr>
              <w:t>1</w:t>
            </w:r>
          </w:p>
        </w:tc>
        <w:tc>
          <w:tcPr>
            <w:tcW w:w="645" w:type="dxa"/>
            <w:shd w:val="clear" w:color="auto" w:fill="auto"/>
            <w:vAlign w:val="center"/>
          </w:tcPr>
          <w:p>
            <w:pPr>
              <w:shd w:val="clear" w:color="auto"/>
              <w:rPr>
                <w:lang w:eastAsia="ja-JP"/>
              </w:rPr>
            </w:pPr>
            <w:r>
              <w:rPr>
                <w:rFonts w:hint="eastAsia"/>
                <w:lang w:val="en-US" w:eastAsia="zh-CN"/>
              </w:rPr>
              <w:t>1</w:t>
            </w:r>
          </w:p>
        </w:tc>
        <w:tc>
          <w:tcPr>
            <w:tcW w:w="637" w:type="dxa"/>
            <w:shd w:val="clear" w:color="auto" w:fill="auto"/>
            <w:vAlign w:val="center"/>
          </w:tcPr>
          <w:p>
            <w:pPr>
              <w:shd w:val="clear" w:color="auto"/>
              <w:rPr>
                <w:lang w:eastAsia="ja-JP"/>
              </w:rPr>
            </w:pPr>
            <w:r>
              <w:rPr>
                <w:rFonts w:hint="eastAsia"/>
                <w:lang w:val="en-US" w:eastAsia="zh-CN"/>
              </w:rPr>
              <w:t>1</w:t>
            </w:r>
          </w:p>
        </w:tc>
        <w:tc>
          <w:tcPr>
            <w:tcW w:w="623" w:type="dxa"/>
            <w:shd w:val="clear" w:color="auto" w:fill="auto"/>
            <w:vAlign w:val="center"/>
          </w:tcPr>
          <w:p>
            <w:pPr>
              <w:shd w:val="clear" w:color="auto"/>
              <w:rPr>
                <w:lang w:eastAsia="ja-JP"/>
              </w:rPr>
            </w:pPr>
            <w:r>
              <w:rPr>
                <w:rFonts w:hint="eastAsia"/>
                <w:lang w:val="en-US" w:eastAsia="zh-CN"/>
              </w:rPr>
              <w:t>1</w:t>
            </w:r>
          </w:p>
        </w:tc>
        <w:tc>
          <w:tcPr>
            <w:tcW w:w="637" w:type="dxa"/>
            <w:shd w:val="clear" w:color="auto" w:fill="auto"/>
            <w:vAlign w:val="center"/>
          </w:tcPr>
          <w:p>
            <w:pPr>
              <w:shd w:val="clear" w:color="auto"/>
              <w:rPr>
                <w:lang w:eastAsia="ja-JP"/>
              </w:rPr>
            </w:pPr>
          </w:p>
        </w:tc>
        <w:tc>
          <w:tcPr>
            <w:tcW w:w="688" w:type="dxa"/>
            <w:shd w:val="clear" w:color="auto" w:fill="auto"/>
            <w:vAlign w:val="center"/>
          </w:tcPr>
          <w:p>
            <w:pPr>
              <w:shd w:val="clear" w:color="auto"/>
              <w:rPr>
                <w:lang w:eastAsia="ja-JP"/>
              </w:rPr>
            </w:pPr>
          </w:p>
        </w:tc>
        <w:tc>
          <w:tcPr>
            <w:tcW w:w="600" w:type="dxa"/>
            <w:shd w:val="clear" w:color="auto" w:fill="auto"/>
            <w:vAlign w:val="center"/>
          </w:tcPr>
          <w:p>
            <w:pPr>
              <w:shd w:val="clear" w:color="auto"/>
              <w:rPr>
                <w:lang w:eastAsia="ja-JP"/>
              </w:rPr>
            </w:pPr>
          </w:p>
        </w:tc>
        <w:tc>
          <w:tcPr>
            <w:tcW w:w="587"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rPr>
              <w:t>不符合数量</w:t>
            </w:r>
          </w:p>
        </w:tc>
        <w:tc>
          <w:tcPr>
            <w:tcW w:w="608" w:type="dxa"/>
            <w:shd w:val="clear" w:color="auto" w:fill="auto"/>
            <w:vAlign w:val="center"/>
          </w:tcPr>
          <w:p>
            <w:pPr>
              <w:shd w:val="clear" w:color="auto"/>
              <w:rPr>
                <w:lang w:eastAsia="ja-JP"/>
              </w:rPr>
            </w:pPr>
          </w:p>
        </w:tc>
        <w:tc>
          <w:tcPr>
            <w:tcW w:w="630" w:type="dxa"/>
            <w:shd w:val="clear" w:color="auto" w:fill="auto"/>
            <w:vAlign w:val="center"/>
          </w:tcPr>
          <w:p>
            <w:pPr>
              <w:shd w:val="clear" w:color="auto"/>
              <w:rPr>
                <w:lang w:eastAsia="ja-JP"/>
              </w:rPr>
            </w:pPr>
          </w:p>
        </w:tc>
        <w:tc>
          <w:tcPr>
            <w:tcW w:w="615" w:type="dxa"/>
            <w:shd w:val="clear" w:color="auto" w:fill="auto"/>
            <w:vAlign w:val="center"/>
          </w:tcPr>
          <w:p>
            <w:pPr>
              <w:shd w:val="clear" w:color="auto"/>
              <w:rPr>
                <w:lang w:eastAsia="ja-JP"/>
              </w:rPr>
            </w:pPr>
          </w:p>
        </w:tc>
        <w:tc>
          <w:tcPr>
            <w:tcW w:w="645" w:type="dxa"/>
            <w:shd w:val="clear" w:color="auto" w:fill="auto"/>
            <w:vAlign w:val="center"/>
          </w:tcPr>
          <w:p>
            <w:pPr>
              <w:shd w:val="clear" w:color="auto"/>
              <w:rPr>
                <w:lang w:eastAsia="ja-JP"/>
              </w:rPr>
            </w:pPr>
          </w:p>
        </w:tc>
        <w:tc>
          <w:tcPr>
            <w:tcW w:w="637" w:type="dxa"/>
            <w:shd w:val="clear" w:color="auto" w:fill="auto"/>
            <w:vAlign w:val="center"/>
          </w:tcPr>
          <w:p>
            <w:pPr>
              <w:shd w:val="clear" w:color="auto"/>
              <w:rPr>
                <w:lang w:eastAsia="ja-JP"/>
              </w:rPr>
            </w:pPr>
          </w:p>
        </w:tc>
        <w:tc>
          <w:tcPr>
            <w:tcW w:w="623" w:type="dxa"/>
            <w:shd w:val="clear" w:color="auto" w:fill="auto"/>
            <w:vAlign w:val="center"/>
          </w:tcPr>
          <w:p>
            <w:pPr>
              <w:shd w:val="clear" w:color="auto"/>
              <w:rPr>
                <w:lang w:eastAsia="ja-JP"/>
              </w:rPr>
            </w:pPr>
          </w:p>
        </w:tc>
        <w:tc>
          <w:tcPr>
            <w:tcW w:w="637" w:type="dxa"/>
            <w:shd w:val="clear" w:color="auto" w:fill="auto"/>
            <w:vAlign w:val="center"/>
          </w:tcPr>
          <w:p>
            <w:pPr>
              <w:shd w:val="clear" w:color="auto"/>
              <w:rPr>
                <w:lang w:eastAsia="ja-JP"/>
              </w:rPr>
            </w:pPr>
          </w:p>
        </w:tc>
        <w:tc>
          <w:tcPr>
            <w:tcW w:w="688" w:type="dxa"/>
            <w:shd w:val="clear" w:color="auto" w:fill="auto"/>
            <w:vAlign w:val="center"/>
          </w:tcPr>
          <w:p>
            <w:pPr>
              <w:shd w:val="clear" w:color="auto"/>
              <w:rPr>
                <w:lang w:eastAsia="ja-JP"/>
              </w:rPr>
            </w:pPr>
          </w:p>
        </w:tc>
        <w:tc>
          <w:tcPr>
            <w:tcW w:w="600" w:type="dxa"/>
            <w:shd w:val="clear" w:color="auto" w:fill="auto"/>
            <w:vAlign w:val="center"/>
          </w:tcPr>
          <w:p>
            <w:pPr>
              <w:shd w:val="clear" w:color="auto"/>
              <w:rPr>
                <w:lang w:eastAsia="ja-JP"/>
              </w:rPr>
            </w:pPr>
          </w:p>
        </w:tc>
        <w:tc>
          <w:tcPr>
            <w:tcW w:w="587"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945" w:firstLineChars="450"/>
      <w:jc w:val="left"/>
      <w:rPr>
        <w:rStyle w:val="19"/>
        <w:rFonts w:hint="default"/>
      </w:rPr>
    </w:pPr>
    <w:r>
      <w:rPr>
        <w:rStyle w:val="19"/>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848" w:firstLineChars="449"/>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C812F55E"/>
    <w:multiLevelType w:val="singleLevel"/>
    <w:tmpl w:val="C812F55E"/>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000000"/>
    <w:rsid w:val="07CE74B1"/>
    <w:rsid w:val="4A210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7"/>
    <w:semiHidden/>
    <w:unhideWhenUsed/>
    <w:qFormat/>
    <w:uiPriority w:val="99"/>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3"/>
    <w:unhideWhenUsed/>
    <w:qFormat/>
    <w:uiPriority w:val="99"/>
    <w:pPr>
      <w:tabs>
        <w:tab w:val="left" w:pos="540"/>
      </w:tabs>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5"/>
    <w:qFormat/>
    <w:uiPriority w:val="99"/>
    <w:rPr>
      <w:rFonts w:ascii="Times New Roman" w:hAnsi="Times New Roman" w:eastAsia="宋体" w:cs="Times New Roman"/>
      <w:sz w:val="18"/>
      <w:szCs w:val="18"/>
    </w:rPr>
  </w:style>
  <w:style w:type="character" w:customStyle="1" w:styleId="16">
    <w:name w:val="页脚 Char"/>
    <w:basedOn w:val="11"/>
    <w:link w:val="2"/>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2022-12-04T04:40:02Z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