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1" w:rightFromText="181" w:vertAnchor="page" w:horzAnchor="margin" w:tblpXSpec="center" w:tblpY="2002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瑞昌市宏瑞船舶工程有限公司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瑞昌市码头镇（原6214厂一分厂）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江西省瑞昌市码头镇（原6214厂一分厂）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赵红伟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13635982144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2803402351@qq.com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1266-2021-QEO-2022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Q：船舶通风管道、舾装件的安装（资质许可范围内除外）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E：船舶通风管道、舾装件的安装（资质许可范围内除外）所涉及场所的相关环境管理活动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O：船舶通风管道、舾装件的安装（资质许可范围内除外）所涉及场所的相关职业健康安全管理活动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Q：20.01.01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E：20.01.01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O：20.01.01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2022年12月26日 下午至2022年12月28日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吴文龙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江西江州联合造船有限责任公司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Q:20.01.01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E:20.01.01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O:20.01.01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13879206811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-756920</wp:posOffset>
            </wp:positionV>
            <wp:extent cx="7462520" cy="10685145"/>
            <wp:effectExtent l="0" t="0" r="5080" b="1905"/>
            <wp:wrapNone/>
            <wp:docPr id="1" name="图片 1" descr="e818b2c5125195d1ae64d84c63db1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18b2c5125195d1ae64d84c63db1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pStyle w:val="9"/>
        <w:spacing w:line="360" w:lineRule="auto"/>
        <w:jc w:val="center"/>
      </w:pPr>
      <w:r>
        <w:rPr>
          <w:rFonts w:hint="eastAsia"/>
        </w:rPr>
        <w:t>审核日程安排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40"/>
        <w:gridCol w:w="1050"/>
        <w:gridCol w:w="633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Arial"/>
                <w:sz w:val="18"/>
                <w:szCs w:val="18"/>
                <w:lang w:val="en-US" w:eastAsia="zh-CN"/>
              </w:rPr>
              <w:t>12.26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13:30-14:00</w:t>
            </w:r>
          </w:p>
        </w:tc>
        <w:tc>
          <w:tcPr>
            <w:tcW w:w="73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14:00-14:30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确定管理体系的范围、4.4管理体系及其过程、5.1领导作用和承诺、5.2方针、5.3组织的岗位、职责和权限、6.1应对风险和机遇的措施、6.2目标及其实现的策划、7.1资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Q6.3变更的策划、8.3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删减确认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上次</w:t>
            </w:r>
            <w:r>
              <w:rPr>
                <w:rFonts w:hint="eastAsia" w:ascii="宋体" w:hAnsi="宋体" w:cs="Arial"/>
                <w:sz w:val="21"/>
                <w:szCs w:val="21"/>
              </w:rPr>
              <w:t>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14:30-17:30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7.1.2人员、7.1.6组织知识、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监视、测量、分析和评价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9.2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/O</w:t>
            </w:r>
            <w:r>
              <w:rPr>
                <w:rFonts w:ascii="宋体" w:hAnsi="宋体" w:cs="Arial"/>
                <w:sz w:val="21"/>
                <w:szCs w:val="21"/>
              </w:rPr>
              <w:t>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危险源的辨识与评价、6.1.4措施的策划、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及实现</w:t>
            </w:r>
            <w:r>
              <w:rPr>
                <w:rFonts w:hint="eastAsia" w:ascii="宋体" w:hAnsi="宋体" w:cs="Arial"/>
                <w:sz w:val="21"/>
                <w:szCs w:val="21"/>
              </w:rPr>
              <w:t>的策划、6.1.3合规义务、9.1.2合规性评价、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9.1监视、测量、分析和评价、</w:t>
            </w:r>
            <w:r>
              <w:rPr>
                <w:rFonts w:ascii="宋体" w:hAnsi="宋体" w:cs="Arial"/>
                <w:sz w:val="21"/>
                <w:szCs w:val="21"/>
              </w:rPr>
              <w:t>9.2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内部审核、10.2不符合/事件和纠正措施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78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12.27</w:t>
            </w:r>
          </w:p>
        </w:tc>
        <w:tc>
          <w:tcPr>
            <w:tcW w:w="14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:00-1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12:00-12:30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7.1.3基础设施、7.1.4过程环境、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8.5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</w:rPr>
              <w:t>/O</w:t>
            </w:r>
            <w:r>
              <w:rPr>
                <w:rFonts w:ascii="宋体" w:hAnsi="宋体" w:cs="Arial"/>
                <w:sz w:val="21"/>
                <w:szCs w:val="21"/>
              </w:rPr>
              <w:t>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组织的岗位、职责和权限、6.2目标及实现的策划、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环境因素/危险源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Arial"/>
                <w:sz w:val="21"/>
                <w:szCs w:val="21"/>
              </w:rPr>
              <w:t>辨识与评价、6.1.4措施的策划、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210" w:firstLineChars="100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Times New Roman" w:eastAsia="宋体" w:cs="Arial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Arial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12.28</w:t>
            </w:r>
          </w:p>
        </w:tc>
        <w:tc>
          <w:tcPr>
            <w:tcW w:w="14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08：00-16：00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12:00-12:30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210" w:firstLineChars="100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16:00-16：30</w:t>
            </w:r>
          </w:p>
        </w:tc>
        <w:tc>
          <w:tcPr>
            <w:tcW w:w="73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420" w:firstLineChars="200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审核组与受审核方领导层沟通；末次会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31B0504"/>
    <w:rsid w:val="60C2737E"/>
    <w:rsid w:val="635C6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1885</Words>
  <Characters>2730</Characters>
  <Lines>37</Lines>
  <Paragraphs>10</Paragraphs>
  <TotalTime>1</TotalTime>
  <ScaleCrop>false</ScaleCrop>
  <LinksUpToDate>false</LinksUpToDate>
  <CharactersWithSpaces>2785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2022-12-28T01:20:34Z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