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南京金陵金箔集团股份有限公司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0229-2019-2022</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hint="default" w:ascii="宋体" w:hAnsi="宋体" w:eastAsiaTheme="minorEastAsia"/>
          <w:spacing w:val="80"/>
          <w:sz w:val="32"/>
          <w:lang w:val="en-US" w:eastAsia="zh-CN"/>
        </w:rPr>
      </w:pPr>
      <w:r>
        <w:rPr>
          <w:rFonts w:hint="eastAsia" w:ascii="宋体" w:hAnsi="宋体"/>
          <w:spacing w:val="80"/>
          <w:sz w:val="32"/>
          <w:lang w:val="en-US" w:eastAsia="zh-CN"/>
        </w:rPr>
        <w:t xml:space="preserve">   </w:t>
      </w: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0229-2019-2022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南京金陵金箔集团股份有限公司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史静霞</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ISC-2019-0591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2024-12-18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2022年11月30日 上午</w:t>
            </w:r>
            <w:bookmarkEnd w:id="9"/>
            <w:r>
              <w:rPr>
                <w:rFonts w:hint="eastAsia" w:cs="宋体" w:asciiTheme="minorEastAsia" w:hAnsiTheme="minorEastAsia"/>
                <w:kern w:val="0"/>
                <w:szCs w:val="21"/>
                <w:lang w:val="en-US" w:eastAsia="zh-CN"/>
              </w:rPr>
              <w:t>至12月1日下午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黄金荣</w:t>
            </w:r>
          </w:p>
          <w:p>
            <w:pPr>
              <w:numPr>
                <w:ilvl w:val="0"/>
                <w:numId w:val="1"/>
              </w:num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color w:val="000000"/>
                <w:szCs w:val="21"/>
                <w:shd w:val="clear" w:color="auto" w:fill="auto"/>
              </w:rPr>
              <w:t>M1MMS-2227641</w:t>
            </w:r>
          </w:p>
          <w:p>
            <w:pPr>
              <w:numPr>
                <w:numId w:val="0"/>
              </w:numPr>
              <w:tabs>
                <w:tab w:val="left" w:pos="880"/>
              </w:tabs>
              <w:autoSpaceDE w:val="0"/>
              <w:autoSpaceDN w:val="0"/>
              <w:adjustRightInd w:val="0"/>
              <w:spacing w:before="35" w:line="276" w:lineRule="auto"/>
              <w:ind w:right="161" w:rightChars="0"/>
              <w:rPr>
                <w:rFonts w:hint="default" w:ascii="宋体" w:hAnsi="宋体"/>
                <w:color w:val="000000"/>
                <w:szCs w:val="21"/>
                <w:shd w:val="clear" w:color="auto" w:fill="auto"/>
                <w:lang w:val="en-US" w:eastAsia="zh-CN"/>
              </w:rPr>
            </w:pPr>
            <w:r>
              <w:rPr>
                <w:rFonts w:hint="eastAsia" w:ascii="宋体" w:hAnsi="宋体"/>
                <w:color w:val="000000"/>
                <w:szCs w:val="21"/>
              </w:rPr>
              <w:t>ISC[S]0062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olor w:val="auto"/>
                <w:szCs w:val="21"/>
              </w:rPr>
              <w:t>管理者代表</w:t>
            </w:r>
            <w:r>
              <w:rPr>
                <w:rFonts w:hint="eastAsia" w:ascii="宋体" w:hAnsi="宋体"/>
                <w:color w:val="auto"/>
                <w:szCs w:val="21"/>
                <w:lang w:eastAsia="zh-CN"/>
              </w:rPr>
              <w:t>、</w:t>
            </w:r>
            <w:r>
              <w:rPr>
                <w:rFonts w:hint="eastAsia" w:ascii="宋体" w:hAnsi="宋体"/>
                <w:color w:val="auto"/>
                <w:szCs w:val="21"/>
                <w:lang w:val="en-US" w:eastAsia="zh-CN"/>
              </w:rPr>
              <w:t>技术研究院（检测中心）、生产中心（质量体系管理部）、智能装备工程研究院、销售中心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1.一年内违反法律法规或重大事故的情况：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一年来，公司日常运行中检验检测、经营、安全、质量管理等方面比去年都有很大提升，企业制定了多项生产管理文件、制度，测量管理体系理念更加深入人心，企业未有违反法律、法规问题和产品质量问题的投诉或重大质量事故发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2.1公司于2022年11月21日组织了公司测量管理体系内审，内审分3个组，对公司5个部门进行了审核，共开出了1个不符合项，到目前为止不符合项已全部完成整改。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11月26日开展了测量管理体系管理评审，会议由公司总裁甘敏主持，由管理者代表汇报了测量体系运行情况。相关部门汇报了本部门分管的测量体系相关工作。会议肯定了公司测量管理体系的充分性、有效性和适宜性。形成了管理评审报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烟用接装纸原纸厚度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a)计量要求的导出和验证：查烟用接装纸原纸厚度测量过程，计量要求导出方法正确，验证满足测量过程要求。祥见附件《计量要求导出及验证记录表》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b)测量不确定评定：查烟用接装纸原纸厚度测量过程，测量不确定度评定方法正确。祥见附件《测量不确定度评定》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c)有效性确认：查有效性确认，满足要求。祥见附件《测量过程有效性确认》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d)测量过程的控制：查烟用接装纸原纸厚度测量过程，编制了控制规范，对测量人员、测量设备、测量环境进行控制，满足要求。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e)测量过程的监视：查烟用接装纸原纸厚度测量过程，按照控制规范规定的频次进行监视。祥见《测量过程监视记录》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w:t>
      </w:r>
      <w:r>
        <w:rPr>
          <w:rFonts w:hint="eastAsia" w:ascii="宋体" w:hAnsi="宋体"/>
          <w:color w:val="auto"/>
          <w:szCs w:val="21"/>
          <w:lang w:val="en-US" w:eastAsia="zh-CN"/>
        </w:rPr>
        <w:t>技术研究院（检测中心）、</w:t>
      </w:r>
      <w:r>
        <w:rPr>
          <w:rFonts w:hint="eastAsia" w:ascii="宋体" w:hAnsi="宋体" w:eastAsia="宋体" w:cs="宋体"/>
          <w:bCs/>
          <w:color w:val="auto"/>
          <w:kern w:val="0"/>
          <w:sz w:val="24"/>
          <w:szCs w:val="24"/>
          <w:lang w:val="en-US" w:eastAsia="zh-CN"/>
        </w:rPr>
        <w:t>负责组织委外检定/校准。公司测量设备委托南京市计量监督检测院、广东中准检测有限公司、深圳天溯计量检测股份有限公司</w:t>
      </w:r>
      <w:r>
        <w:rPr>
          <w:rFonts w:hint="eastAsia" w:ascii="宋体" w:hAnsi="宋体" w:eastAsia="宋体" w:cs="宋体"/>
          <w:bCs/>
          <w:color w:val="auto"/>
          <w:kern w:val="0"/>
          <w:sz w:val="24"/>
          <w:szCs w:val="24"/>
          <w:lang w:val="en-US" w:eastAsia="zh-CN"/>
        </w:rPr>
        <w:t>检定/校准。抽查6台测量设备检定/校准证书，溯源满足要求。祥见《测量设备溯源检查表》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4.能源管理情况：企业主要消耗电能。2022年1月10月消耗电量22431078kWh，折标煤2757t标煤，企业不是重点能耗单位。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去年监督审核未发现不符合项</w:t>
      </w:r>
      <w:r>
        <w:rPr>
          <w:rFonts w:hint="eastAsia" w:ascii="宋体" w:hAnsi="宋体" w:eastAsia="宋体" w:cs="宋体"/>
          <w:bCs/>
          <w:color w:val="auto"/>
          <w:kern w:val="0"/>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制定了5项质量目标，目标可测量，公司编制了《测量管理体系2022年管理目标及管理方案》对质量目标进行了分解，。查《测量管理体系2022年度管理目标完成情况统计表》:2022年1季度至3季度质量目标全部完成。</w:t>
      </w:r>
      <w:r>
        <w:rPr>
          <w:rFonts w:hint="eastAsia" w:ascii="宋体" w:hAnsi="宋体" w:eastAsia="宋体" w:cs="宋体"/>
          <w:bCs/>
          <w:color w:val="auto"/>
          <w:kern w:val="0"/>
          <w:sz w:val="24"/>
          <w:szCs w:val="24"/>
          <w:lang w:val="en-US" w:eastAsia="zh-CN"/>
        </w:rPr>
        <w:t>企业测量体系进一步满足顾客、质量、服务等方面的要求，符合GB/T 19022-2003标准要求。使其更具有动态性和适宜性、有效性及对持续运作的控制。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营业执照没有变更。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10.本次审核未发现一般不符合项 ，未发现严重或系统性的不符合情况。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通过2022年11月30日至12月1日，对南京金陵金箔集团股份有限公司监督审核.验证了</w:t>
      </w:r>
      <w:r>
        <w:rPr>
          <w:rFonts w:hint="eastAsia" w:ascii="宋体" w:hAnsi="宋体" w:eastAsia="宋体" w:cs="宋体"/>
          <w:bCs/>
          <w:color w:val="auto"/>
          <w:kern w:val="0"/>
          <w:sz w:val="24"/>
          <w:szCs w:val="24"/>
          <w:lang w:val="en-US" w:eastAsia="zh-CN"/>
        </w:rPr>
        <w:t>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南京金陵金箔集团股份有限公司测量管理体系，符合GB/T 19022-2003标准要求，对体系运行具有持续的有效性、符合性予以肯定。建议报请北京国标联合认证有限公司批准通过监督审核。</w:t>
      </w:r>
    </w:p>
    <w:p>
      <w:pPr>
        <w:rPr>
          <w:rFonts w:hint="eastAsia"/>
          <w:color w:val="C00000"/>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kern w:val="0"/>
          <w:sz w:val="24"/>
          <w:szCs w:val="24"/>
          <w:lang w:val="en-US" w:eastAsia="zh-CN"/>
        </w:rPr>
      </w:pPr>
      <w:bookmarkStart w:id="11" w:name="_GoBack"/>
      <w:bookmarkEnd w:id="11"/>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0000FF"/>
          <w:kern w:val="0"/>
          <w:sz w:val="24"/>
          <w:szCs w:val="24"/>
          <w:lang w:val="en-US" w:eastAsia="zh-CN"/>
        </w:rPr>
      </w:pPr>
      <w:r>
        <w:rPr>
          <w:rFonts w:hint="eastAsia" w:ascii="宋体" w:hAnsi="宋体" w:eastAsia="宋体" w:cs="宋体"/>
          <w:bCs/>
          <w:color w:val="0000FF"/>
          <w:kern w:val="0"/>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drawing>
          <wp:anchor distT="0" distB="0" distL="114300" distR="114300" simplePos="0" relativeHeight="251670528" behindDoc="0" locked="0" layoutInCell="1" allowOverlap="1">
            <wp:simplePos x="0" y="0"/>
            <wp:positionH relativeFrom="column">
              <wp:posOffset>1701800</wp:posOffset>
            </wp:positionH>
            <wp:positionV relativeFrom="paragraph">
              <wp:posOffset>-50800</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hint="default" w:ascii="宋体" w:hAnsi="宋体" w:eastAsia="宋体" w:cs="宋体"/>
          <w:bCs/>
          <w:color w:val="auto"/>
          <w:kern w:val="0"/>
          <w:sz w:val="24"/>
          <w:szCs w:val="24"/>
          <w:lang w:val="en-US" w:eastAsia="zh-CN"/>
        </w:rPr>
        <w:t>审核组组长（签字）：</w:t>
      </w:r>
      <w:r>
        <w:rPr>
          <w:rFonts w:hint="eastAsia" w:ascii="宋体" w:hAnsi="宋体" w:eastAsia="宋体" w:cs="宋体"/>
          <w:bCs/>
          <w:color w:val="auto"/>
          <w:kern w:val="0"/>
          <w:sz w:val="24"/>
          <w:szCs w:val="24"/>
          <w:lang w:val="en-US" w:eastAsia="zh-CN"/>
        </w:rPr>
        <w:t xml:space="preserve">                     </w:t>
      </w:r>
      <w:r>
        <w:rPr>
          <w:rFonts w:hint="default" w:ascii="宋体" w:hAnsi="宋体" w:eastAsia="宋体" w:cs="宋体"/>
          <w:bCs/>
          <w:color w:val="auto"/>
          <w:kern w:val="0"/>
          <w:sz w:val="24"/>
          <w:szCs w:val="24"/>
          <w:lang w:val="en-US" w:eastAsia="zh-CN"/>
        </w:rPr>
        <w:t>日</w:t>
      </w:r>
      <w:r>
        <w:rPr>
          <w:rFonts w:hint="eastAsia" w:ascii="宋体" w:hAnsi="宋体" w:eastAsia="宋体" w:cs="宋体"/>
          <w:bCs/>
          <w:color w:val="auto"/>
          <w:kern w:val="0"/>
          <w:sz w:val="24"/>
          <w:szCs w:val="24"/>
          <w:lang w:val="en-US" w:eastAsia="zh-CN"/>
        </w:rPr>
        <w:t xml:space="preserve"> </w:t>
      </w:r>
      <w:r>
        <w:rPr>
          <w:rFonts w:hint="default" w:ascii="宋体" w:hAnsi="宋体" w:eastAsia="宋体" w:cs="宋体"/>
          <w:bCs/>
          <w:color w:val="auto"/>
          <w:kern w:val="0"/>
          <w:sz w:val="24"/>
          <w:szCs w:val="24"/>
          <w:lang w:val="en-US" w:eastAsia="zh-CN"/>
        </w:rPr>
        <w:t>期：</w:t>
      </w:r>
      <w:r>
        <w:rPr>
          <w:rFonts w:hint="eastAsia" w:ascii="宋体" w:hAnsi="宋体" w:eastAsia="宋体" w:cs="宋体"/>
          <w:bCs/>
          <w:color w:val="auto"/>
          <w:kern w:val="0"/>
          <w:sz w:val="24"/>
          <w:szCs w:val="24"/>
          <w:lang w:val="en-US" w:eastAsia="zh-CN"/>
        </w:rPr>
        <w:t>2022年12月1日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default" w:ascii="宋体" w:hAnsi="宋体" w:eastAsia="宋体" w:cs="宋体"/>
          <w:bCs/>
          <w:color w:val="auto"/>
          <w:kern w:val="0"/>
          <w:sz w:val="24"/>
          <w:szCs w:val="24"/>
          <w:lang w:val="en-US" w:eastAsia="zh-CN"/>
        </w:rPr>
        <w:t>审核</w:t>
      </w:r>
      <w:r>
        <w:rPr>
          <w:rFonts w:hint="eastAsia" w:ascii="宋体" w:hAnsi="宋体" w:eastAsia="宋体" w:cs="宋体"/>
          <w:bCs/>
          <w:color w:val="auto"/>
          <w:kern w:val="0"/>
          <w:sz w:val="24"/>
          <w:szCs w:val="24"/>
          <w:lang w:val="en-US" w:eastAsia="zh-CN"/>
        </w:rPr>
        <w:t>组成员(</w:t>
      </w:r>
      <w:r>
        <w:rPr>
          <w:rFonts w:hint="default" w:ascii="宋体" w:hAnsi="宋体" w:eastAsia="宋体" w:cs="宋体"/>
          <w:bCs/>
          <w:color w:val="auto"/>
          <w:kern w:val="0"/>
          <w:sz w:val="24"/>
          <w:szCs w:val="24"/>
          <w:lang w:val="en-US" w:eastAsia="zh-CN"/>
        </w:rPr>
        <w:t>签字</w:t>
      </w:r>
      <w:r>
        <w:rPr>
          <w:rFonts w:hint="eastAsia" w:ascii="宋体" w:hAnsi="宋体" w:eastAsia="宋体" w:cs="宋体"/>
          <w:bCs/>
          <w:color w:val="auto"/>
          <w:kern w:val="0"/>
          <w:sz w:val="24"/>
          <w:szCs w:val="24"/>
          <w:lang w:val="en-US" w:eastAsia="zh-CN"/>
        </w:rPr>
        <w:t>)</w:t>
      </w:r>
      <w:r>
        <w:rPr>
          <w:rFonts w:hint="default"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 xml:space="preserve">                 /      </w:t>
      </w:r>
      <w:r>
        <w:rPr>
          <w:rFonts w:hint="default" w:ascii="宋体" w:hAnsi="宋体" w:eastAsia="宋体" w:cs="宋体"/>
          <w:bCs/>
          <w:color w:val="auto"/>
          <w:kern w:val="0"/>
          <w:sz w:val="24"/>
          <w:szCs w:val="24"/>
          <w:lang w:val="en-US" w:eastAsia="zh-CN"/>
        </w:rPr>
        <w:t>日</w:t>
      </w:r>
      <w:r>
        <w:rPr>
          <w:rFonts w:hint="eastAsia" w:ascii="宋体" w:hAnsi="宋体" w:eastAsia="宋体" w:cs="宋体"/>
          <w:bCs/>
          <w:color w:val="auto"/>
          <w:kern w:val="0"/>
          <w:sz w:val="24"/>
          <w:szCs w:val="24"/>
          <w:lang w:val="en-US" w:eastAsia="zh-CN"/>
        </w:rPr>
        <w:t xml:space="preserve"> </w:t>
      </w:r>
      <w:r>
        <w:rPr>
          <w:rFonts w:hint="default" w:ascii="宋体" w:hAnsi="宋体" w:eastAsia="宋体" w:cs="宋体"/>
          <w:bCs/>
          <w:color w:val="auto"/>
          <w:kern w:val="0"/>
          <w:sz w:val="24"/>
          <w:szCs w:val="24"/>
          <w:lang w:val="en-US" w:eastAsia="zh-CN"/>
        </w:rPr>
        <w:t>期：</w:t>
      </w:r>
      <w:r>
        <w:rPr>
          <w:rFonts w:hint="eastAsia" w:ascii="宋体" w:hAnsi="宋体" w:eastAsia="宋体" w:cs="宋体"/>
          <w:bCs/>
          <w:color w:val="auto"/>
          <w:kern w:val="0"/>
          <w:sz w:val="24"/>
          <w:szCs w:val="24"/>
          <w:lang w:val="en-US" w:eastAsia="zh-CN"/>
        </w:rPr>
        <w:t xml:space="preserve">   年   月   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北京国标联合认证有限公司(盖章)            日 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A888C9"/>
    <w:multiLevelType w:val="singleLevel"/>
    <w:tmpl w:val="80A888C9"/>
    <w:lvl w:ilvl="0" w:tentative="0">
      <w:start w:val="20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FC32B8"/>
    <w:rsid w:val="4EFA4907"/>
    <w:rsid w:val="761542CE"/>
    <w:rsid w:val="7C775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5</TotalTime>
  <ScaleCrop>false</ScaleCrop>
  <LinksUpToDate>false</LinksUpToDate>
  <CharactersWithSpaces>2165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2022-12-01T03:50:36Z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