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3614" w:firstLineChars="12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bookmarkStart w:id="0" w:name="组织名称"/>
            <w:r>
              <w:t>河北启涵机电安装工程有限公司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专业小类</w:t>
            </w:r>
            <w:r>
              <w:t>/</w:t>
            </w:r>
          </w:p>
          <w:p>
            <w:r>
              <w:rPr>
                <w:rFonts w:hint="eastAsia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bookmarkStart w:id="1" w:name="专业代码"/>
            <w:r>
              <w:t>18.08.00;19.16.00;28.02.00;28.07.03;34.06.00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r>
              <w:rPr>
                <w:rFonts w:hint="eastAsia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28.02.00;28.07.03;</w:t>
            </w:r>
          </w:p>
        </w:tc>
        <w:tc>
          <w:tcPr>
            <w:tcW w:w="1719" w:type="dxa"/>
            <w:gridSpan w:val="2"/>
            <w:vAlign w:val="center"/>
          </w:tcPr>
          <w:p>
            <w:r>
              <w:rPr>
                <w:rFonts w:hint="eastAsia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企业办公室+远程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杨园</w:t>
            </w:r>
          </w:p>
        </w:tc>
        <w:tc>
          <w:tcPr>
            <w:tcW w:w="1505" w:type="dxa"/>
            <w:vAlign w:val="center"/>
          </w:tcPr>
          <w:p/>
        </w:tc>
        <w:tc>
          <w:tcPr>
            <w:tcW w:w="1719" w:type="dxa"/>
            <w:gridSpan w:val="2"/>
            <w:vAlign w:val="center"/>
          </w:tcPr>
          <w:p/>
        </w:tc>
        <w:tc>
          <w:tcPr>
            <w:tcW w:w="1378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生产工艺</w:t>
            </w:r>
            <w:r>
              <w:t>/</w:t>
            </w:r>
          </w:p>
          <w:p>
            <w:r>
              <w:rPr>
                <w:rFonts w:hint="eastAsia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宋体" w:hAnsi="宋体"/>
              </w:rPr>
              <w:object>
                <v:shape id="_x0000_i1025" o:spt="75" type="#_x0000_t75" style="height:234.45pt;width:158.8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重要环境</w:t>
            </w:r>
            <w:r>
              <w:rPr>
                <w:rFonts w:hint="eastAsia"/>
                <w:lang w:val="en-US" w:eastAsia="zh-CN"/>
              </w:rPr>
              <w:t>因素</w:t>
            </w:r>
            <w:r>
              <w:rPr>
                <w:rFonts w:hint="eastAsia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相关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hint="eastAsia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质量法、环境保护法、安全生产法、消防法等及相关标准、规范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 12348-2008工业企业厂界噪声卫生标准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2）GB 50236-2011现场设备、</w:t>
            </w:r>
            <w:r>
              <w:t>主要施工验收规范</w:t>
            </w:r>
            <w:r>
              <w:rPr>
                <w:rFonts w:hint="eastAsia"/>
              </w:rPr>
              <w:t> 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GB50231－</w:t>
            </w:r>
            <w:r>
              <w:rPr>
                <w:rFonts w:hint="eastAsia"/>
                <w:lang w:val="en-US" w:eastAsia="zh-CN"/>
              </w:rPr>
              <w:t>2009</w:t>
            </w:r>
            <w:r>
              <w:rPr>
                <w:rFonts w:hint="eastAsia"/>
              </w:rPr>
              <w:t xml:space="preserve">《机械设备安装工程施工及验收通用规范》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4)</w:t>
            </w:r>
            <w:r>
              <w:rPr>
                <w:rFonts w:hint="eastAsia"/>
              </w:rPr>
              <w:t>GB50274－</w:t>
            </w:r>
            <w:r>
              <w:rPr>
                <w:rFonts w:hint="eastAsia"/>
                <w:lang w:val="en-US" w:eastAsia="zh-CN"/>
              </w:rPr>
              <w:t>2010</w:t>
            </w:r>
            <w:r>
              <w:rPr>
                <w:rFonts w:hint="eastAsia"/>
              </w:rPr>
              <w:t>《制冷设备、空气分离设备安装工程施工及验收规范》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5)</w:t>
            </w:r>
            <w:r>
              <w:rPr>
                <w:rFonts w:hint="eastAsia"/>
              </w:rPr>
              <w:t>GB50275－</w:t>
            </w:r>
            <w:r>
              <w:rPr>
                <w:rFonts w:hint="eastAsia"/>
                <w:lang w:val="en-US" w:eastAsia="zh-CN"/>
              </w:rPr>
              <w:t>2010</w:t>
            </w:r>
            <w:r>
              <w:rPr>
                <w:rFonts w:hint="eastAsia"/>
              </w:rPr>
              <w:t xml:space="preserve"> 《压缩机、风机、泵安装工程施工及验收规范》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6)</w:t>
            </w:r>
            <w:r>
              <w:rPr>
                <w:rFonts w:hint="eastAsia"/>
              </w:rPr>
              <w:t>GB50168－</w:t>
            </w: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>《电气装置安装工程电缆线路施工及验收规范》《电气装置安装工作盘、柜及二次回路结线施工及验收规范》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8)</w:t>
            </w:r>
            <w:r>
              <w:rPr>
                <w:rFonts w:hint="eastAsia"/>
              </w:rPr>
              <w:t>GB50150－</w:t>
            </w:r>
            <w:r>
              <w:rPr>
                <w:rFonts w:hint="eastAsia"/>
                <w:lang w:val="en-US" w:eastAsia="zh-CN"/>
              </w:rPr>
              <w:t>2016</w:t>
            </w:r>
            <w:r>
              <w:rPr>
                <w:rFonts w:hint="eastAsia"/>
              </w:rPr>
              <w:t xml:space="preserve"> 《电气装置安装工程电气设备交接试验标准》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9)</w:t>
            </w:r>
            <w:r>
              <w:rPr>
                <w:rFonts w:hint="eastAsia"/>
              </w:rPr>
              <w:t>GB50235－</w:t>
            </w:r>
            <w:r>
              <w:rPr>
                <w:rFonts w:hint="eastAsia"/>
                <w:lang w:val="en-US" w:eastAsia="zh-CN"/>
              </w:rPr>
              <w:t>2019</w:t>
            </w:r>
            <w:r>
              <w:rPr>
                <w:rFonts w:hint="eastAsia"/>
              </w:rPr>
              <w:t xml:space="preserve"> 《工业金属管道工程施工及验收规范》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10)</w:t>
            </w:r>
            <w:r>
              <w:rPr>
                <w:rFonts w:hint="eastAsia"/>
              </w:rPr>
              <w:t xml:space="preserve"> DBJ/CT506-2000《建筑给水聚丁烯（PB）管道工程技术规程》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11)</w:t>
            </w:r>
            <w:r>
              <w:rPr>
                <w:rFonts w:hint="eastAsia"/>
              </w:rPr>
              <w:t xml:space="preserve"> GB50268－</w:t>
            </w:r>
            <w:r>
              <w:rPr>
                <w:rFonts w:hint="eastAsia"/>
                <w:lang w:val="en-US" w:eastAsia="zh-CN"/>
              </w:rPr>
              <w:t>2016</w:t>
            </w:r>
            <w:r>
              <w:rPr>
                <w:rFonts w:hint="eastAsia"/>
              </w:rPr>
              <w:t xml:space="preserve"> 《给水排水管道施工及验收规范》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12)</w:t>
            </w:r>
            <w:r>
              <w:rPr>
                <w:rFonts w:hint="eastAsia"/>
              </w:rPr>
              <w:t>GB50242－2002《建筑给水排水及采暖工程施工质量验收规范》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13)</w:t>
            </w:r>
            <w:r>
              <w:rPr>
                <w:rFonts w:hint="eastAsia"/>
              </w:rPr>
              <w:t>GB50243－20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 xml:space="preserve"> 《通风与空调工程施工质量验收规范》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14)</w:t>
            </w:r>
            <w:r>
              <w:rPr>
                <w:rFonts w:hint="eastAsia"/>
              </w:rPr>
              <w:t xml:space="preserve"> GB50252－</w:t>
            </w: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 xml:space="preserve"> 《工业设备及管道绝热工程施工及验收规范》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15)</w:t>
            </w:r>
            <w:r>
              <w:rPr>
                <w:rFonts w:hint="eastAsia"/>
              </w:rPr>
              <w:t>GB50236－</w:t>
            </w:r>
            <w:r>
              <w:rPr>
                <w:rFonts w:hint="eastAsia"/>
                <w:lang w:val="en-US" w:eastAsia="zh-CN"/>
              </w:rPr>
              <w:t>2011</w:t>
            </w:r>
            <w:r>
              <w:rPr>
                <w:rFonts w:hint="eastAsia"/>
              </w:rPr>
              <w:t xml:space="preserve"> 《现场设备、工业管道焊接工程施工及验收规范》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。。。。。。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填表人</w:t>
            </w:r>
          </w:p>
          <w:p>
            <w:r>
              <w:t>(</w:t>
            </w:r>
            <w:r>
              <w:rPr>
                <w:rFonts w:hint="eastAsia"/>
              </w:rPr>
              <w:t>专业人员</w:t>
            </w:r>
            <w:r>
              <w:t>)</w:t>
            </w:r>
          </w:p>
        </w:tc>
        <w:tc>
          <w:tcPr>
            <w:tcW w:w="2533" w:type="dxa"/>
            <w:vAlign w:val="center"/>
          </w:tcPr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61595</wp:posOffset>
                  </wp:positionV>
                  <wp:extent cx="946150" cy="482600"/>
                  <wp:effectExtent l="0" t="0" r="635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34290</wp:posOffset>
                  </wp:positionV>
                  <wp:extent cx="946150" cy="482600"/>
                  <wp:effectExtent l="0" t="0" r="635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河北启涵机电安装工程有限公司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18.08.00;19.16.00;28.02.00;28.07.03;34.06.00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28.02.00;28.07.03;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object>
                <v:shape id="_x0000_i1026" o:spt="75" alt="" type="#_x0000_t75" style="height:177.15pt;width:12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Unknown" ShapeID="_x0000_i1026" DrawAspect="Content" ObjectID="_1468075726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质量法、环境保护法、安全生产法、消防法等及相关标准、规范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 12348-2008工业企业厂界噪声卫生标准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2）GB 50236-2011现场设备、</w:t>
            </w:r>
            <w:r>
              <w:rPr>
                <w:sz w:val="21"/>
                <w:szCs w:val="21"/>
              </w:rPr>
              <w:t>主要施工验收规范</w:t>
            </w:r>
            <w:r>
              <w:rPr>
                <w:rFonts w:hint="eastAsia"/>
                <w:sz w:val="21"/>
                <w:szCs w:val="21"/>
              </w:rPr>
              <w:t> 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sz w:val="21"/>
                <w:szCs w:val="21"/>
              </w:rPr>
              <w:t>GB50231－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2009</w:t>
            </w:r>
            <w:r>
              <w:rPr>
                <w:rFonts w:hint="eastAsia"/>
                <w:sz w:val="21"/>
                <w:szCs w:val="21"/>
              </w:rPr>
              <w:t xml:space="preserve">《机械设备安装工程施工及验收通用规范》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4)</w:t>
            </w:r>
            <w:r>
              <w:rPr>
                <w:rFonts w:hint="eastAsia"/>
                <w:sz w:val="21"/>
                <w:szCs w:val="21"/>
              </w:rPr>
              <w:t>GB50274－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2010</w:t>
            </w:r>
            <w:r>
              <w:rPr>
                <w:rFonts w:hint="eastAsia"/>
                <w:sz w:val="21"/>
                <w:szCs w:val="21"/>
              </w:rPr>
              <w:t>《制冷设备、空气分离设备安装工程施工及验收规范》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5)</w:t>
            </w:r>
            <w:r>
              <w:rPr>
                <w:rFonts w:hint="eastAsia"/>
                <w:sz w:val="21"/>
                <w:szCs w:val="21"/>
              </w:rPr>
              <w:t>GB50275－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2010</w:t>
            </w:r>
            <w:r>
              <w:rPr>
                <w:rFonts w:hint="eastAsia"/>
                <w:sz w:val="21"/>
                <w:szCs w:val="21"/>
              </w:rPr>
              <w:t xml:space="preserve"> 《压缩机、风机、泵安装工程施工及验收规范》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6)</w:t>
            </w:r>
            <w:r>
              <w:rPr>
                <w:rFonts w:hint="eastAsia"/>
                <w:sz w:val="21"/>
                <w:szCs w:val="21"/>
              </w:rPr>
              <w:t>GB50168－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/>
                <w:sz w:val="21"/>
                <w:szCs w:val="21"/>
              </w:rPr>
              <w:t>《电气装置安装工程电缆线路施工及验收规范》《电气装置安装工作盘、柜及二次回路结线施工及验收规范》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8)</w:t>
            </w:r>
            <w:r>
              <w:rPr>
                <w:rFonts w:hint="eastAsia"/>
                <w:sz w:val="21"/>
                <w:szCs w:val="21"/>
              </w:rPr>
              <w:t>GB50150－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/>
                <w:sz w:val="21"/>
                <w:szCs w:val="21"/>
              </w:rPr>
              <w:t xml:space="preserve"> 《电气装置安装工程电气设备交接试验标准》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9)</w:t>
            </w:r>
            <w:r>
              <w:rPr>
                <w:rFonts w:hint="eastAsia"/>
                <w:sz w:val="21"/>
                <w:szCs w:val="21"/>
              </w:rPr>
              <w:t>GB50235－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sz w:val="21"/>
                <w:szCs w:val="21"/>
              </w:rPr>
              <w:t xml:space="preserve"> 《工业金属管道工程施工及验收规范》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10)</w:t>
            </w:r>
            <w:r>
              <w:rPr>
                <w:rFonts w:hint="eastAsia"/>
                <w:sz w:val="21"/>
                <w:szCs w:val="21"/>
              </w:rPr>
              <w:t xml:space="preserve"> DBJ/CT506-2000《建筑给水聚丁烯（PB）管道工程技术规程》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11)</w:t>
            </w:r>
            <w:r>
              <w:rPr>
                <w:rFonts w:hint="eastAsia"/>
                <w:sz w:val="21"/>
                <w:szCs w:val="21"/>
              </w:rPr>
              <w:t xml:space="preserve"> GB50268－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/>
                <w:sz w:val="21"/>
                <w:szCs w:val="21"/>
              </w:rPr>
              <w:t xml:space="preserve"> 《给水排水管道施工及验收规范》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12)</w:t>
            </w:r>
            <w:r>
              <w:rPr>
                <w:rFonts w:hint="eastAsia"/>
                <w:sz w:val="21"/>
                <w:szCs w:val="21"/>
              </w:rPr>
              <w:t>GB50242－2002《建筑给水排水及采暖工程施工质量验收规范》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13)</w:t>
            </w:r>
            <w:r>
              <w:rPr>
                <w:rFonts w:hint="eastAsia"/>
                <w:sz w:val="21"/>
                <w:szCs w:val="21"/>
              </w:rPr>
              <w:t>GB50243－20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 《通风与空调工程施工质量验收规范》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14)</w:t>
            </w:r>
            <w:r>
              <w:rPr>
                <w:rFonts w:hint="eastAsia"/>
                <w:sz w:val="21"/>
                <w:szCs w:val="21"/>
              </w:rPr>
              <w:t xml:space="preserve"> GB50252－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/>
                <w:sz w:val="21"/>
                <w:szCs w:val="21"/>
              </w:rPr>
              <w:t xml:space="preserve"> 《工业设备及管道绝热工程施工及验收规范》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15)</w:t>
            </w:r>
            <w:r>
              <w:rPr>
                <w:rFonts w:hint="eastAsia"/>
                <w:sz w:val="21"/>
                <w:szCs w:val="21"/>
              </w:rPr>
              <w:t>GB50236－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2011</w:t>
            </w:r>
            <w:r>
              <w:rPr>
                <w:rFonts w:hint="eastAsia"/>
                <w:sz w:val="21"/>
                <w:szCs w:val="21"/>
              </w:rPr>
              <w:t xml:space="preserve"> 《现场设备、工业管道焊接工程施工及验收规范》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。。。。。。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107950</wp:posOffset>
                  </wp:positionV>
                  <wp:extent cx="946150" cy="482600"/>
                  <wp:effectExtent l="0" t="0" r="635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86995</wp:posOffset>
                  </wp:positionV>
                  <wp:extent cx="946150" cy="482600"/>
                  <wp:effectExtent l="0" t="0" r="635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ind w:firstLine="3614" w:firstLineChars="12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r>
              <w:t>河北启涵机电安装工程有限公司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专业小类</w:t>
            </w:r>
            <w:r>
              <w:t>/</w:t>
            </w:r>
          </w:p>
          <w:p>
            <w:r>
              <w:rPr>
                <w:rFonts w:hint="eastAsia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t>18.08.00;19.16.00;28.02.00;28.07.03;34.06.00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r>
              <w:rPr>
                <w:rFonts w:hint="eastAsia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18.08.00;19.16.00;34.06.00</w:t>
            </w:r>
          </w:p>
        </w:tc>
        <w:tc>
          <w:tcPr>
            <w:tcW w:w="1719" w:type="dxa"/>
            <w:gridSpan w:val="2"/>
            <w:vAlign w:val="center"/>
          </w:tcPr>
          <w:p>
            <w:r>
              <w:rPr>
                <w:rFonts w:hint="eastAsia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企业办公室+远程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杨园</w:t>
            </w:r>
          </w:p>
        </w:tc>
        <w:tc>
          <w:tcPr>
            <w:tcW w:w="1505" w:type="dxa"/>
            <w:vAlign w:val="center"/>
          </w:tcPr>
          <w:p/>
        </w:tc>
        <w:tc>
          <w:tcPr>
            <w:tcW w:w="1719" w:type="dxa"/>
            <w:gridSpan w:val="2"/>
            <w:vAlign w:val="center"/>
          </w:tcPr>
          <w:p/>
        </w:tc>
        <w:tc>
          <w:tcPr>
            <w:tcW w:w="1378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生产工艺</w:t>
            </w:r>
            <w:r>
              <w:t>/</w:t>
            </w:r>
          </w:p>
          <w:p>
            <w:r>
              <w:rPr>
                <w:rFonts w:hint="eastAsia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维护和维修流程：合同签订---维护、维修--客户验收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—售后—项目结束</w:t>
            </w:r>
          </w:p>
          <w:p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节能技术咨询流程：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业务对接—勘察现场—技术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方案—跟进回款—售后—项目结束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重要环境</w:t>
            </w:r>
            <w:r>
              <w:rPr>
                <w:rFonts w:hint="eastAsia"/>
                <w:lang w:val="en-US" w:eastAsia="zh-CN"/>
              </w:rPr>
              <w:t>因素</w:t>
            </w:r>
            <w:r>
              <w:rPr>
                <w:rFonts w:hint="eastAsia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相关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hint="eastAsia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质量法、环境保护法、安全生产法、消防法等及相关标准、规范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 12348-2008工业企业厂界噪声卫生标准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2）GB 50236-2011现场设备、</w:t>
            </w:r>
            <w:r>
              <w:t>主要施工验收规范</w:t>
            </w:r>
            <w:r>
              <w:rPr>
                <w:rFonts w:hint="eastAsia"/>
              </w:rPr>
              <w:t> 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GB50231－</w:t>
            </w:r>
            <w:r>
              <w:rPr>
                <w:rFonts w:hint="eastAsia"/>
                <w:lang w:val="en-US" w:eastAsia="zh-CN"/>
              </w:rPr>
              <w:t>2009</w:t>
            </w:r>
            <w:r>
              <w:rPr>
                <w:rFonts w:hint="eastAsia"/>
              </w:rPr>
              <w:t xml:space="preserve">《机械设备安装工程施工及验收通用规范》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4)</w:t>
            </w:r>
            <w:r>
              <w:rPr>
                <w:rFonts w:hint="eastAsia"/>
              </w:rPr>
              <w:t>GB50274－</w:t>
            </w:r>
            <w:r>
              <w:rPr>
                <w:rFonts w:hint="eastAsia"/>
                <w:lang w:val="en-US" w:eastAsia="zh-CN"/>
              </w:rPr>
              <w:t>2010</w:t>
            </w:r>
            <w:r>
              <w:rPr>
                <w:rFonts w:hint="eastAsia"/>
              </w:rPr>
              <w:t>《制冷设备、空气分离设备安装工程施工及验收规范》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5)</w:t>
            </w:r>
            <w:r>
              <w:rPr>
                <w:rFonts w:hint="eastAsia"/>
              </w:rPr>
              <w:t>GB50275－</w:t>
            </w:r>
            <w:r>
              <w:rPr>
                <w:rFonts w:hint="eastAsia"/>
                <w:lang w:val="en-US" w:eastAsia="zh-CN"/>
              </w:rPr>
              <w:t>2010</w:t>
            </w:r>
            <w:r>
              <w:rPr>
                <w:rFonts w:hint="eastAsia"/>
              </w:rPr>
              <w:t xml:space="preserve"> 《压缩机、风机、泵安装工程施工及验收规范》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6)</w:t>
            </w:r>
            <w:r>
              <w:rPr>
                <w:rFonts w:hint="eastAsia"/>
              </w:rPr>
              <w:t>GB50168－</w:t>
            </w: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>《电气装置安装工程电缆线路施工及验收规范》《电气装置安装工作盘、柜及二次回路结线施工及验收规范》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8)</w:t>
            </w:r>
            <w:r>
              <w:rPr>
                <w:rFonts w:hint="eastAsia"/>
              </w:rPr>
              <w:t>GB50150－</w:t>
            </w:r>
            <w:r>
              <w:rPr>
                <w:rFonts w:hint="eastAsia"/>
                <w:lang w:val="en-US" w:eastAsia="zh-CN"/>
              </w:rPr>
              <w:t>2016</w:t>
            </w:r>
            <w:r>
              <w:rPr>
                <w:rFonts w:hint="eastAsia"/>
              </w:rPr>
              <w:t xml:space="preserve"> 《电气装置安装工程电气设备交接试验标准》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9)</w:t>
            </w:r>
            <w:r>
              <w:rPr>
                <w:rFonts w:hint="eastAsia"/>
              </w:rPr>
              <w:t>GB50235－</w:t>
            </w:r>
            <w:r>
              <w:rPr>
                <w:rFonts w:hint="eastAsia"/>
                <w:lang w:val="en-US" w:eastAsia="zh-CN"/>
              </w:rPr>
              <w:t>2019</w:t>
            </w:r>
            <w:r>
              <w:rPr>
                <w:rFonts w:hint="eastAsia"/>
              </w:rPr>
              <w:t xml:space="preserve"> 《工业金属管道工程施工及验收规范》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10)</w:t>
            </w:r>
            <w:r>
              <w:rPr>
                <w:rFonts w:hint="eastAsia"/>
              </w:rPr>
              <w:t xml:space="preserve"> DBJ/CT506-2000《建筑给水聚丁烯（PB）管道工程技术规程》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11)</w:t>
            </w:r>
            <w:r>
              <w:rPr>
                <w:rFonts w:hint="eastAsia"/>
              </w:rPr>
              <w:t xml:space="preserve"> GB50268－</w:t>
            </w:r>
            <w:r>
              <w:rPr>
                <w:rFonts w:hint="eastAsia"/>
                <w:lang w:val="en-US" w:eastAsia="zh-CN"/>
              </w:rPr>
              <w:t>2016</w:t>
            </w:r>
            <w:r>
              <w:rPr>
                <w:rFonts w:hint="eastAsia"/>
              </w:rPr>
              <w:t xml:space="preserve"> 《给水排水管道施工及验收规范》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12)</w:t>
            </w:r>
            <w:r>
              <w:rPr>
                <w:rFonts w:hint="eastAsia"/>
              </w:rPr>
              <w:t>GB50242－2002《建筑给水排水及采暖工程施工质量验收规范》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13)</w:t>
            </w:r>
            <w:r>
              <w:rPr>
                <w:rFonts w:hint="eastAsia"/>
              </w:rPr>
              <w:t>GB50243－20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 xml:space="preserve"> 《通风与空调工程施工质量验收规范》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14)</w:t>
            </w:r>
            <w:r>
              <w:rPr>
                <w:rFonts w:hint="eastAsia"/>
              </w:rPr>
              <w:t xml:space="preserve"> GB50252－</w:t>
            </w: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 xml:space="preserve"> 《工业设备及管道绝热工程施工及验收规范》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15)</w:t>
            </w:r>
            <w:r>
              <w:rPr>
                <w:rFonts w:hint="eastAsia"/>
              </w:rPr>
              <w:t>GB50236－</w:t>
            </w:r>
            <w:r>
              <w:rPr>
                <w:rFonts w:hint="eastAsia"/>
                <w:lang w:val="en-US" w:eastAsia="zh-CN"/>
              </w:rPr>
              <w:t>2011</w:t>
            </w:r>
            <w:r>
              <w:rPr>
                <w:rFonts w:hint="eastAsia"/>
              </w:rPr>
              <w:t xml:space="preserve"> 《现场设备、工业管道焊接工程施工及验收规范》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。。。。。。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填表人</w:t>
            </w:r>
          </w:p>
          <w:p>
            <w:r>
              <w:t>(</w:t>
            </w:r>
            <w:r>
              <w:rPr>
                <w:rFonts w:hint="eastAsia"/>
              </w:rPr>
              <w:t>专业人员</w:t>
            </w:r>
            <w:r>
              <w:t>)</w:t>
            </w:r>
          </w:p>
        </w:tc>
        <w:tc>
          <w:tcPr>
            <w:tcW w:w="2533" w:type="dxa"/>
            <w:vAlign w:val="center"/>
          </w:tcPr>
          <w:p>
            <w: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95250</wp:posOffset>
                  </wp:positionV>
                  <wp:extent cx="685800" cy="348615"/>
                  <wp:effectExtent l="0" t="0" r="0" b="6985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34290</wp:posOffset>
                  </wp:positionV>
                  <wp:extent cx="946150" cy="482600"/>
                  <wp:effectExtent l="0" t="0" r="635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河北启涵机电安装工程有限公司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18.08.00;19.16.00;28.02.00;28.07.03;34.06.00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18.08.00;19.16.00;34.06.00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维护和维修流程：合同签订---维护、维修--客户验收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—售后—项目结束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节能技术咨询流程：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业务对接—勘察现场—技术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方案—跟进回款—售后—项目结束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质量法、环境保护法、安全生产法、消防法等及相关标准、规范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 12348-2008工业企业厂界噪声卫生标准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2）GB 50236-2011现场设备、</w:t>
            </w:r>
            <w:r>
              <w:t>主要施工验收规范</w:t>
            </w:r>
            <w:r>
              <w:rPr>
                <w:rFonts w:hint="eastAsia"/>
              </w:rPr>
              <w:t> 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GB50231－</w:t>
            </w:r>
            <w:r>
              <w:rPr>
                <w:rFonts w:hint="eastAsia"/>
                <w:lang w:val="en-US" w:eastAsia="zh-CN"/>
              </w:rPr>
              <w:t>2009</w:t>
            </w:r>
            <w:r>
              <w:rPr>
                <w:rFonts w:hint="eastAsia"/>
              </w:rPr>
              <w:t xml:space="preserve">《机械设备安装工程施工及验收通用规范》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4)</w:t>
            </w:r>
            <w:r>
              <w:rPr>
                <w:rFonts w:hint="eastAsia"/>
              </w:rPr>
              <w:t>GB50274－</w:t>
            </w:r>
            <w:r>
              <w:rPr>
                <w:rFonts w:hint="eastAsia"/>
                <w:lang w:val="en-US" w:eastAsia="zh-CN"/>
              </w:rPr>
              <w:t>2010</w:t>
            </w:r>
            <w:r>
              <w:rPr>
                <w:rFonts w:hint="eastAsia"/>
              </w:rPr>
              <w:t>《制冷设备、空气分离设备安装工程施工及验收规范》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5)</w:t>
            </w:r>
            <w:r>
              <w:rPr>
                <w:rFonts w:hint="eastAsia"/>
              </w:rPr>
              <w:t>GB50275－</w:t>
            </w:r>
            <w:r>
              <w:rPr>
                <w:rFonts w:hint="eastAsia"/>
                <w:lang w:val="en-US" w:eastAsia="zh-CN"/>
              </w:rPr>
              <w:t>2010</w:t>
            </w:r>
            <w:r>
              <w:rPr>
                <w:rFonts w:hint="eastAsia"/>
              </w:rPr>
              <w:t xml:space="preserve"> 《压缩机、风机、泵安装工程施工及验收规范》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6)</w:t>
            </w:r>
            <w:r>
              <w:rPr>
                <w:rFonts w:hint="eastAsia"/>
              </w:rPr>
              <w:t>GB50168－</w:t>
            </w: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>《电气装置安装工程电缆线路施工及验收规范》《电气装置安装工作盘、柜及二次回路结线施工及验收规范》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8)</w:t>
            </w:r>
            <w:r>
              <w:rPr>
                <w:rFonts w:hint="eastAsia"/>
              </w:rPr>
              <w:t>GB50150－</w:t>
            </w:r>
            <w:r>
              <w:rPr>
                <w:rFonts w:hint="eastAsia"/>
                <w:lang w:val="en-US" w:eastAsia="zh-CN"/>
              </w:rPr>
              <w:t>2016</w:t>
            </w:r>
            <w:r>
              <w:rPr>
                <w:rFonts w:hint="eastAsia"/>
              </w:rPr>
              <w:t xml:space="preserve"> 《电气装置安装工程电气设备交接试验标准》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9)</w:t>
            </w:r>
            <w:r>
              <w:rPr>
                <w:rFonts w:hint="eastAsia"/>
              </w:rPr>
              <w:t>GB50235－</w:t>
            </w:r>
            <w:r>
              <w:rPr>
                <w:rFonts w:hint="eastAsia"/>
                <w:lang w:val="en-US" w:eastAsia="zh-CN"/>
              </w:rPr>
              <w:t>2019</w:t>
            </w:r>
            <w:r>
              <w:rPr>
                <w:rFonts w:hint="eastAsia"/>
              </w:rPr>
              <w:t xml:space="preserve"> 《工业金属管道工程施工及验收规范》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10)</w:t>
            </w:r>
            <w:r>
              <w:rPr>
                <w:rFonts w:hint="eastAsia"/>
              </w:rPr>
              <w:t xml:space="preserve"> DBJ/CT506-2000《建筑给水聚丁烯（PB）管道工程技术规程》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11)</w:t>
            </w:r>
            <w:r>
              <w:rPr>
                <w:rFonts w:hint="eastAsia"/>
              </w:rPr>
              <w:t xml:space="preserve"> GB50268－</w:t>
            </w:r>
            <w:r>
              <w:rPr>
                <w:rFonts w:hint="eastAsia"/>
                <w:lang w:val="en-US" w:eastAsia="zh-CN"/>
              </w:rPr>
              <w:t>2016</w:t>
            </w:r>
            <w:r>
              <w:rPr>
                <w:rFonts w:hint="eastAsia"/>
              </w:rPr>
              <w:t xml:space="preserve"> 《给水排水管道施工及验收规范》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12)</w:t>
            </w:r>
            <w:r>
              <w:rPr>
                <w:rFonts w:hint="eastAsia"/>
              </w:rPr>
              <w:t>GB50242－2002《建筑给水排水及采暖工程施工质量验收规范》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13)</w:t>
            </w:r>
            <w:r>
              <w:rPr>
                <w:rFonts w:hint="eastAsia"/>
              </w:rPr>
              <w:t>GB50243－20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 xml:space="preserve"> 《通风与空调工程施工质量验收规范》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14)</w:t>
            </w:r>
            <w:r>
              <w:rPr>
                <w:rFonts w:hint="eastAsia"/>
              </w:rPr>
              <w:t xml:space="preserve"> GB50252－</w:t>
            </w: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 xml:space="preserve"> 《工业设备及管道绝热工程施工及验收规范》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15)</w:t>
            </w:r>
            <w:r>
              <w:rPr>
                <w:rFonts w:hint="eastAsia"/>
              </w:rPr>
              <w:t>GB50236－</w:t>
            </w:r>
            <w:r>
              <w:rPr>
                <w:rFonts w:hint="eastAsia"/>
                <w:lang w:val="en-US" w:eastAsia="zh-CN"/>
              </w:rPr>
              <w:t>2011</w:t>
            </w:r>
            <w:r>
              <w:rPr>
                <w:rFonts w:hint="eastAsia"/>
              </w:rPr>
              <w:t xml:space="preserve"> 《现场设备、工业管道焊接工程施工及验收规范》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。。。。。。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60960</wp:posOffset>
                  </wp:positionV>
                  <wp:extent cx="685800" cy="348615"/>
                  <wp:effectExtent l="0" t="0" r="0" b="698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86995</wp:posOffset>
                  </wp:positionV>
                  <wp:extent cx="946150" cy="482600"/>
                  <wp:effectExtent l="0" t="0" r="6350" b="0"/>
                  <wp:wrapNone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  <w:b/>
          <w:sz w:val="22"/>
          <w:szCs w:val="22"/>
        </w:rPr>
      </w:pPr>
      <w:bookmarkStart w:id="2" w:name="Q勾选"/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rPr>
          <w:rFonts w:hint="eastAsia"/>
          <w:b/>
          <w:sz w:val="22"/>
          <w:szCs w:val="22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QMS </w:t>
      </w:r>
      <w:bookmarkStart w:id="3" w:name="QJ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维护和维修流程：合同签订---维护、维修--客户验收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—售后—项目结束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节能技术咨询流程：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业务对接—勘察现场—技术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方案—跟进回款—售后—项目结束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关键过程：维修、节能技术方案设计、检验等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需确认过程：维修、节能技术方案设计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质量法、环境保护法、安全生产法、消防法等及相关标准、规范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 12348-2008工业企业厂界噪声卫生标准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2）GB 50236-2011现场设备、</w:t>
            </w:r>
            <w:r>
              <w:rPr>
                <w:sz w:val="21"/>
                <w:szCs w:val="21"/>
              </w:rPr>
              <w:t>主要施工验收规范</w:t>
            </w:r>
            <w:r>
              <w:rPr>
                <w:rFonts w:hint="eastAsia"/>
                <w:sz w:val="21"/>
                <w:szCs w:val="21"/>
              </w:rPr>
              <w:t> 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sz w:val="21"/>
                <w:szCs w:val="21"/>
              </w:rPr>
              <w:t>GB50231－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2009</w:t>
            </w:r>
            <w:r>
              <w:rPr>
                <w:rFonts w:hint="eastAsia"/>
                <w:sz w:val="21"/>
                <w:szCs w:val="21"/>
              </w:rPr>
              <w:t xml:space="preserve">《机械设备安装工程施工及验收通用规范》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4)</w:t>
            </w:r>
            <w:r>
              <w:rPr>
                <w:rFonts w:hint="eastAsia"/>
                <w:sz w:val="21"/>
                <w:szCs w:val="21"/>
              </w:rPr>
              <w:t>GB50274－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2010</w:t>
            </w:r>
            <w:r>
              <w:rPr>
                <w:rFonts w:hint="eastAsia"/>
                <w:sz w:val="21"/>
                <w:szCs w:val="21"/>
              </w:rPr>
              <w:t>《制冷设备、空气分离设备安装工程施工及验收规范》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5)</w:t>
            </w:r>
            <w:r>
              <w:rPr>
                <w:rFonts w:hint="eastAsia"/>
                <w:sz w:val="21"/>
                <w:szCs w:val="21"/>
              </w:rPr>
              <w:t>GB50275－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2010</w:t>
            </w:r>
            <w:r>
              <w:rPr>
                <w:rFonts w:hint="eastAsia"/>
                <w:sz w:val="21"/>
                <w:szCs w:val="21"/>
              </w:rPr>
              <w:t xml:space="preserve"> 《压缩机、风机、泵安装工程施工及验收规范》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6)</w:t>
            </w:r>
            <w:r>
              <w:rPr>
                <w:rFonts w:hint="eastAsia"/>
                <w:sz w:val="21"/>
                <w:szCs w:val="21"/>
              </w:rPr>
              <w:t>GB50168－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/>
                <w:sz w:val="21"/>
                <w:szCs w:val="21"/>
              </w:rPr>
              <w:t>《电气装置安装工程电缆线路施工及验收规范》《电气装置安装工作盘、柜及二次回路结线施工及验收规范》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8)</w:t>
            </w:r>
            <w:r>
              <w:rPr>
                <w:rFonts w:hint="eastAsia"/>
                <w:sz w:val="21"/>
                <w:szCs w:val="21"/>
              </w:rPr>
              <w:t>GB50150－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/>
                <w:sz w:val="21"/>
                <w:szCs w:val="21"/>
              </w:rPr>
              <w:t xml:space="preserve"> 《电气装置安装工程电气设备交接试验标准》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9)</w:t>
            </w:r>
            <w:r>
              <w:rPr>
                <w:rFonts w:hint="eastAsia"/>
                <w:sz w:val="21"/>
                <w:szCs w:val="21"/>
              </w:rPr>
              <w:t>GB50235－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sz w:val="21"/>
                <w:szCs w:val="21"/>
              </w:rPr>
              <w:t xml:space="preserve"> 《工业金属管道工程施工及验收规范》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10)</w:t>
            </w:r>
            <w:r>
              <w:rPr>
                <w:rFonts w:hint="eastAsia"/>
                <w:sz w:val="21"/>
                <w:szCs w:val="21"/>
              </w:rPr>
              <w:t xml:space="preserve"> DBJ/CT506-2000《建筑给水聚丁烯（PB）管道工程技术规程》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11)</w:t>
            </w:r>
            <w:r>
              <w:rPr>
                <w:rFonts w:hint="eastAsia"/>
                <w:sz w:val="21"/>
                <w:szCs w:val="21"/>
              </w:rPr>
              <w:t xml:space="preserve"> GB50268－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/>
                <w:sz w:val="21"/>
                <w:szCs w:val="21"/>
              </w:rPr>
              <w:t xml:space="preserve"> 《给水排水管道施工及验收规范》 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12)</w:t>
            </w:r>
            <w:r>
              <w:rPr>
                <w:rFonts w:hint="eastAsia"/>
                <w:sz w:val="21"/>
                <w:szCs w:val="21"/>
              </w:rPr>
              <w:t>GB50242－2002《建筑给水排水及采暖工程施工质量验收规范》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13)</w:t>
            </w:r>
            <w:r>
              <w:rPr>
                <w:rFonts w:hint="eastAsia"/>
                <w:sz w:val="21"/>
                <w:szCs w:val="21"/>
              </w:rPr>
              <w:t>GB50243－20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 xml:space="preserve"> 《通风与空调工程施工质量验收规范》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14)</w:t>
            </w:r>
            <w:r>
              <w:rPr>
                <w:rFonts w:hint="eastAsia"/>
                <w:sz w:val="21"/>
                <w:szCs w:val="21"/>
              </w:rPr>
              <w:t xml:space="preserve"> GB50252－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/>
                <w:sz w:val="21"/>
                <w:szCs w:val="21"/>
              </w:rPr>
              <w:t xml:space="preserve"> 《工业设备及管道绝热工程施工及验收规范》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15)</w:t>
            </w:r>
            <w:r>
              <w:rPr>
                <w:rFonts w:hint="eastAsia"/>
                <w:sz w:val="21"/>
                <w:szCs w:val="21"/>
              </w:rPr>
              <w:t>GB50236－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2011</w:t>
            </w:r>
            <w:r>
              <w:rPr>
                <w:rFonts w:hint="eastAsia"/>
                <w:sz w:val="21"/>
                <w:szCs w:val="21"/>
              </w:rPr>
              <w:t xml:space="preserve"> 《现场设备、工业管道焊接工程施工及验收规范》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。。。。。。</w:t>
            </w:r>
          </w:p>
          <w:bookmarkEnd w:id="4"/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60960</wp:posOffset>
                  </wp:positionV>
                  <wp:extent cx="685800" cy="348615"/>
                  <wp:effectExtent l="0" t="0" r="0" b="6985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86995</wp:posOffset>
                  </wp:positionV>
                  <wp:extent cx="946150" cy="482600"/>
                  <wp:effectExtent l="0" t="0" r="6350" b="0"/>
                  <wp:wrapNone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2060000000000000000"/>
    <w:charset w:val="81"/>
    <w:family w:val="roman"/>
    <w:pitch w:val="default"/>
    <w:sig w:usb0="00000000" w:usb1="00000000" w:usb2="00000033" w:usb3="00000000" w:csb0="0008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5430776"/>
    <w:rsid w:val="19CD15E8"/>
    <w:rsid w:val="19DD7F6D"/>
    <w:rsid w:val="318710FE"/>
    <w:rsid w:val="42C81CD6"/>
    <w:rsid w:val="5A0E363D"/>
    <w:rsid w:val="656C7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adjustRightInd w:val="0"/>
      <w:spacing w:line="312" w:lineRule="atLeast"/>
      <w:jc w:val="righ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2022-12-12T22:48:13Z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