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65"/>
        <w:gridCol w:w="194"/>
        <w:gridCol w:w="174"/>
        <w:gridCol w:w="127"/>
        <w:gridCol w:w="506"/>
        <w:gridCol w:w="345"/>
        <w:gridCol w:w="567"/>
        <w:gridCol w:w="1064"/>
        <w:gridCol w:w="564"/>
        <w:gridCol w:w="747"/>
        <w:gridCol w:w="44"/>
        <w:gridCol w:w="416"/>
        <w:gridCol w:w="355"/>
        <w:gridCol w:w="300"/>
        <w:gridCol w:w="277"/>
        <w:gridCol w:w="313"/>
        <w:gridCol w:w="555"/>
        <w:gridCol w:w="646"/>
        <w:gridCol w:w="74"/>
        <w:gridCol w:w="544"/>
        <w:gridCol w:w="129"/>
        <w:gridCol w:w="120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河北启涵机电安装工程有限公司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河北省石家庄市新华区新华路563号汇特大厦1111室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河北省石家庄市新华区新华路563号汇特大厦1111室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1188-2022-QJEO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■5</w:t>
            </w:r>
            <w:r>
              <w:rPr>
                <w:sz w:val="21"/>
                <w:szCs w:val="21"/>
              </w:rPr>
              <w:t>0430</w:t>
            </w:r>
            <w:bookmarkStart w:id="5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EMS</w:t>
            </w:r>
            <w:bookmarkStart w:id="6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7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8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9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"/>
            <w:r>
              <w:rPr>
                <w:sz w:val="21"/>
                <w:szCs w:val="21"/>
              </w:rPr>
              <w:t>崔丽辉</w:t>
            </w:r>
            <w:bookmarkEnd w:id="10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电话"/>
            <w:r>
              <w:rPr>
                <w:sz w:val="21"/>
                <w:szCs w:val="21"/>
              </w:rPr>
              <w:t>13393110768</w:t>
            </w:r>
            <w:bookmarkEnd w:id="11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326960073@qq.com</w:t>
            </w:r>
            <w:bookmarkEnd w:id="1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7"/>
            <w:vAlign w:val="center"/>
          </w:tcPr>
          <w:p>
            <w:bookmarkStart w:id="13" w:name="管理者代表"/>
            <w:r>
              <w:t>崔丽辉</w:t>
            </w:r>
            <w:bookmarkEnd w:id="1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gridSpan w:val="2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EC:一阶段,E:一阶段,O:一阶段,Q:一阶段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5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5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9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2"/>
            <w:vAlign w:val="center"/>
          </w:tcPr>
          <w:p>
            <w:bookmarkStart w:id="19" w:name="审核范围"/>
            <w:r>
              <w:t>EC：资质范围内不分专业施工劳务不分等级；机电工程施工总承包</w:t>
            </w:r>
          </w:p>
          <w:p>
            <w:r>
              <w:t>E：资质范围内不分专业施工劳务不分等级；机电工程施工总承包；常压锅炉设备、空气源热泵、配电设备的维护和维修（有国家专项要求的除外）；节能技术咨询所涉及场所的相关环境管理活动</w:t>
            </w:r>
          </w:p>
          <w:p>
            <w:r>
              <w:t>O：资质范围内不分专业施工劳务不分等级；机电工程施工总承包；常压锅炉设备、空气源热泵、配电设备的维护和维修（有国家专项要求的除外）；节能技术咨询所涉及场所的相关职业健康安全管理活动</w:t>
            </w:r>
          </w:p>
          <w:p>
            <w:r>
              <w:t>Q：认可：常压锅炉设备、空气源热泵、配电设备的维护和维修（有国家专项要求的除外）；</w:t>
            </w:r>
          </w:p>
          <w:p>
            <w:r>
              <w:t>未认可：节能技术咨询；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5"/>
            <w:vAlign w:val="center"/>
          </w:tcPr>
          <w:p>
            <w:bookmarkStart w:id="20" w:name="专业代码"/>
            <w:r>
              <w:t>EC：28.02.00;28.07.03B</w:t>
            </w:r>
          </w:p>
          <w:p>
            <w:r>
              <w:t>E：18.08.00;19.16.00;28.02.00;28.07.03;34.06.00</w:t>
            </w:r>
          </w:p>
          <w:p>
            <w:r>
              <w:t>O：18.08.00;19.16.00;28.02.00;28.07.03;34.06.00</w:t>
            </w:r>
          </w:p>
          <w:p>
            <w:r>
              <w:t>Q：18.08.00;19.16.00;34.06.00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  <w:u w:val="single"/>
                <w:lang w:val="en-US" w:eastAsia="zh-CN"/>
              </w:rPr>
              <w:t>QHJD-SC-2022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4" w:name="审核日期"/>
            <w:r>
              <w:rPr>
                <w:rFonts w:hint="eastAsia"/>
                <w:b/>
                <w:sz w:val="21"/>
                <w:szCs w:val="21"/>
              </w:rPr>
              <w:t>2022年12月09日 上午至2022年12月09日 下午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5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5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2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98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EC:28.02.00,28.07.03B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E:18.08.00,28.02.00,28.07.03,34.06.00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O:18.08.00,28.02.00,28.07.03,34.06.00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Q:18.08.00,34.06.00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E:18.08.00,19.16.00,34.06.00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O:18.08.00,19.16.00,34.06.00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Q:18.08.00,19.16.00,34.06.00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3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</w:t>
            </w:r>
          </w:p>
        </w:tc>
        <w:tc>
          <w:tcPr>
            <w:tcW w:w="7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36" w:type="dxa"/>
            <w:vAlign w:val="center"/>
          </w:tcPr>
          <w:p/>
        </w:tc>
        <w:tc>
          <w:tcPr>
            <w:tcW w:w="933" w:type="dxa"/>
            <w:gridSpan w:val="3"/>
            <w:vAlign w:val="center"/>
          </w:tcPr>
          <w:p/>
        </w:tc>
        <w:tc>
          <w:tcPr>
            <w:tcW w:w="633" w:type="dxa"/>
            <w:gridSpan w:val="2"/>
            <w:vAlign w:val="center"/>
          </w:tcPr>
          <w:p/>
        </w:tc>
        <w:tc>
          <w:tcPr>
            <w:tcW w:w="2540" w:type="dxa"/>
            <w:gridSpan w:val="4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980" w:type="dxa"/>
            <w:gridSpan w:val="9"/>
            <w:vAlign w:val="center"/>
          </w:tcPr>
          <w:p/>
        </w:tc>
        <w:tc>
          <w:tcPr>
            <w:tcW w:w="793" w:type="dxa"/>
            <w:gridSpan w:val="3"/>
            <w:vAlign w:val="center"/>
          </w:tcPr>
          <w:p/>
        </w:tc>
        <w:tc>
          <w:tcPr>
            <w:tcW w:w="96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36" w:type="dxa"/>
            <w:vAlign w:val="center"/>
          </w:tcPr>
          <w:p/>
        </w:tc>
        <w:tc>
          <w:tcPr>
            <w:tcW w:w="933" w:type="dxa"/>
            <w:gridSpan w:val="3"/>
            <w:vAlign w:val="center"/>
          </w:tcPr>
          <w:p/>
        </w:tc>
        <w:tc>
          <w:tcPr>
            <w:tcW w:w="633" w:type="dxa"/>
            <w:gridSpan w:val="2"/>
            <w:vAlign w:val="center"/>
          </w:tcPr>
          <w:p/>
        </w:tc>
        <w:tc>
          <w:tcPr>
            <w:tcW w:w="2540" w:type="dxa"/>
            <w:gridSpan w:val="4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980" w:type="dxa"/>
            <w:gridSpan w:val="9"/>
            <w:vAlign w:val="center"/>
          </w:tcPr>
          <w:p/>
        </w:tc>
        <w:tc>
          <w:tcPr>
            <w:tcW w:w="793" w:type="dxa"/>
            <w:gridSpan w:val="3"/>
            <w:vAlign w:val="center"/>
          </w:tcPr>
          <w:p/>
        </w:tc>
        <w:tc>
          <w:tcPr>
            <w:tcW w:w="96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36" w:type="dxa"/>
            <w:vAlign w:val="center"/>
          </w:tcPr>
          <w:p/>
        </w:tc>
        <w:tc>
          <w:tcPr>
            <w:tcW w:w="933" w:type="dxa"/>
            <w:gridSpan w:val="3"/>
            <w:vAlign w:val="center"/>
          </w:tcPr>
          <w:p/>
        </w:tc>
        <w:tc>
          <w:tcPr>
            <w:tcW w:w="633" w:type="dxa"/>
            <w:gridSpan w:val="2"/>
            <w:vAlign w:val="center"/>
          </w:tcPr>
          <w:p/>
        </w:tc>
        <w:tc>
          <w:tcPr>
            <w:tcW w:w="2540" w:type="dxa"/>
            <w:gridSpan w:val="4"/>
            <w:vAlign w:val="center"/>
          </w:tcPr>
          <w:p/>
        </w:tc>
        <w:tc>
          <w:tcPr>
            <w:tcW w:w="747" w:type="dxa"/>
            <w:vAlign w:val="center"/>
          </w:tcPr>
          <w:p/>
        </w:tc>
        <w:tc>
          <w:tcPr>
            <w:tcW w:w="2980" w:type="dxa"/>
            <w:gridSpan w:val="9"/>
            <w:vAlign w:val="center"/>
          </w:tcPr>
          <w:p/>
        </w:tc>
        <w:tc>
          <w:tcPr>
            <w:tcW w:w="793" w:type="dxa"/>
            <w:gridSpan w:val="3"/>
            <w:vAlign w:val="center"/>
          </w:tcPr>
          <w:p/>
        </w:tc>
        <w:tc>
          <w:tcPr>
            <w:tcW w:w="964" w:type="dxa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2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4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gridSpan w:val="4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2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r>
        <w:drawing>
          <wp:inline distT="0" distB="0" distL="114300" distR="114300">
            <wp:extent cx="5208905" cy="712406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7124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bookmarkStart w:id="26" w:name="_GoBack"/>
      <w:bookmarkEnd w:id="26"/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现场结合远程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63"/>
        <w:gridCol w:w="6707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日期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时间</w:t>
            </w:r>
          </w:p>
        </w:tc>
        <w:tc>
          <w:tcPr>
            <w:tcW w:w="6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受审核部门、场所及审核内容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B远程审核：微信传输、语音、视频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12-09</w:t>
            </w: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AC(现场)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和复印件/扫描件的一致性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-管理手册；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-文件化的程序；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-作业文件；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对多场所/临时场所建立的控制的水平（适用时）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QMS场所巡查: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-了解主要资源和能源使用种类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了解重要环境因素的和控制措施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-查看合规性证明（98年后新扩建的环评验收、环境监测报告）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-了解危险废弃物的处置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-了解应急准备和响应情况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EMS场所巡查: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6707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-了解三级安全教育的实施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-了解职业病体检的情况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 了解应急准备和响应情况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707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shd w:val="pct10" w:color="auto" w:fill="FFFFFF"/>
              </w:rPr>
              <w:t>OHSMS场所巡查: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专业审核员</w:t>
            </w: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A（现场）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70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AC(现场)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B（远程）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6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0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午饭休息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楷体" w:hAnsi="楷体" w:eastAsia="楷体" w:cs="楷体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D1582F"/>
    <w:rsid w:val="7E9853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2022-12-18T00:34:33Z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