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59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河北启晟电力工程有限公司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河北省石家庄市藁城区南营镇南营村前进路南五条14号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河北省石家庄市裕华区祥泰路66号中冶盛世国际广场商务楼A座1202室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贾运腾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13149451913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贾运腾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1079073052@qq.com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1190-2022-QJEO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42" w:type="dxa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bookmarkStart w:id="17" w:name="远程审核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远程审核   ■现场结合远程审核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EC：资质范围内特种工程专业承包（特殊设备的起重吊装）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E：资质范围内特种工程专业承包（特殊设备的起重吊装）所涉及场所的相关环境管理活动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O：资质范围内特种工程专业承包（特殊设备的起重吊装）所涉及场所的相关职业健康安全管理活动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EC：28.09.02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E：28.09.02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O：28.09.02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4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黑体" w:hAnsi="黑体" w:eastAsia="黑体"/>
                <w:b/>
                <w:color w:val="000000"/>
                <w:sz w:val="21"/>
                <w:szCs w:val="21"/>
                <w:u w:val="single"/>
                <w:lang w:val="en-US" w:eastAsia="zh-CN"/>
              </w:rPr>
              <w:t>QCDL-SC-2022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现场结合远程审核于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2022年12月06日 下午至2022年12月08日 上午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2.0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2021-N1EMS-1244880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EC:28.09.02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E:28.09.02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O:28.09.02</w:t>
            </w:r>
          </w:p>
        </w:tc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2022-N1EMS-4022240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8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29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现场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8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gridSpan w:val="4"/>
            <w:vAlign w:val="center"/>
          </w:tcPr>
          <w:p/>
        </w:tc>
        <w:tc>
          <w:tcPr>
            <w:tcW w:w="129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215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9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2022.12.5</w:t>
            </w:r>
          </w:p>
        </w:tc>
        <w:tc>
          <w:tcPr>
            <w:tcW w:w="215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9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6363335" cy="4724400"/>
            <wp:effectExtent l="0" t="0" r="1206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333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28" w:name="_GoBack"/>
      <w:bookmarkEnd w:id="28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298"/>
        <w:gridCol w:w="1062"/>
        <w:gridCol w:w="3824"/>
        <w:gridCol w:w="2200"/>
        <w:gridCol w:w="1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日程安排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其中B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1"/>
                <w:szCs w:val="21"/>
                <w:lang w:val="en-US" w:eastAsia="zh-CN"/>
              </w:rPr>
              <w:t>远程审核：采用微信音频、视频、微信传输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6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9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8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2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12-06</w:t>
            </w:r>
          </w:p>
        </w:tc>
        <w:tc>
          <w:tcPr>
            <w:tcW w:w="1298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2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企业各部门人员</w:t>
            </w:r>
          </w:p>
        </w:tc>
        <w:tc>
          <w:tcPr>
            <w:tcW w:w="382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2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67" w:type="dxa"/>
            <w:tcBorders>
              <w:right w:val="single" w:color="auto" w:sz="8" w:space="0"/>
            </w:tcBorders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AC（现场）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298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062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领导层</w:t>
            </w:r>
          </w:p>
        </w:tc>
        <w:tc>
          <w:tcPr>
            <w:tcW w:w="3824" w:type="dxa"/>
            <w:shd w:val="clear" w:color="auto" w:fill="auto"/>
          </w:tcPr>
          <w:p>
            <w:pPr>
              <w:spacing w:line="300" w:lineRule="exact"/>
            </w:pPr>
            <w:r>
              <w:rPr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管理评审；总则；持续改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一阶段问题整改情况</w:t>
            </w:r>
          </w:p>
        </w:tc>
        <w:tc>
          <w:tcPr>
            <w:tcW w:w="2200" w:type="dxa"/>
            <w:shd w:val="clear" w:color="auto" w:fill="auto"/>
          </w:tcPr>
          <w:p>
            <w:pPr>
              <w:spacing w:line="26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bCs/>
                <w:sz w:val="21"/>
                <w:szCs w:val="21"/>
              </w:rPr>
              <w:t>:</w:t>
            </w:r>
            <w:r>
              <w:rPr>
                <w:bCs/>
                <w:sz w:val="21"/>
                <w:szCs w:val="21"/>
              </w:rPr>
              <w:t>4.1/4.2/4.3/4.4/5.1/5.2/5.3/6.1/6.2/6.3/7.1</w:t>
            </w:r>
            <w:r>
              <w:rPr>
                <w:rFonts w:hint="eastAsia"/>
                <w:bCs/>
                <w:sz w:val="21"/>
                <w:szCs w:val="21"/>
              </w:rPr>
              <w:t>.1</w:t>
            </w:r>
            <w:r>
              <w:rPr>
                <w:bCs/>
                <w:sz w:val="21"/>
                <w:szCs w:val="21"/>
              </w:rPr>
              <w:t>/9.1.1/9.3/10.1/10.3</w:t>
            </w:r>
          </w:p>
          <w:p>
            <w:pPr>
              <w:spacing w:line="260" w:lineRule="exact"/>
              <w:rPr>
                <w:rFonts w:hint="eastAsia" w:eastAsia="宋体"/>
                <w:color w:val="0000FF"/>
                <w:lang w:val="en-US" w:eastAsia="zh-CN"/>
              </w:rPr>
            </w:pPr>
            <w:r>
              <w:rPr>
                <w:rFonts w:hint="eastAsia"/>
                <w:bCs/>
                <w:sz w:val="21"/>
                <w:szCs w:val="21"/>
                <w:lang w:val="en-US" w:eastAsia="zh-CN"/>
              </w:rPr>
              <w:t>EC</w:t>
            </w:r>
            <w:r>
              <w:rPr>
                <w:rFonts w:hint="eastAsia"/>
                <w:bCs/>
                <w:sz w:val="21"/>
                <w:szCs w:val="21"/>
              </w:rPr>
              <w:t>:3.1/3.2/3.3/3.4/4.1/4.2/4.3/12.1/12.3/12.4/12.5</w:t>
            </w:r>
          </w:p>
          <w:p>
            <w:pPr>
              <w:pStyle w:val="2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FF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(现场)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298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  <w:highlight w:val="none"/>
              </w:rPr>
              <w:t>: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</w:rPr>
              <w:t>0-1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highlight w:val="none"/>
              </w:rPr>
              <w:t>: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062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领导层</w:t>
            </w:r>
          </w:p>
        </w:tc>
        <w:tc>
          <w:tcPr>
            <w:tcW w:w="382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组织及其环境；相关方的需求和希望；管理体系的范围；管理体系及其过程；领导作用和承诺；管理方针；组织的岗位、职责权限；应对风险和机会的策划；目标和实现计划；资源提供；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合规义务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及法律法规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环境因素、</w:t>
            </w:r>
            <w:r>
              <w:rPr>
                <w:color w:val="auto"/>
                <w:sz w:val="21"/>
                <w:szCs w:val="21"/>
                <w:highlight w:val="none"/>
              </w:rPr>
              <w:t>危险源辨识、风险评价；管理评审；总则；持续改进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一阶段问题整改情况</w:t>
            </w:r>
          </w:p>
        </w:tc>
        <w:tc>
          <w:tcPr>
            <w:tcW w:w="2200" w:type="dxa"/>
            <w:shd w:val="clear" w:color="auto" w:fill="auto"/>
            <w:vAlign w:val="top"/>
          </w:tcPr>
          <w:p>
            <w:pPr>
              <w:spacing w:line="260" w:lineRule="exact"/>
              <w:rPr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EO: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4.1/4.2/4.3/4.4/5.1/5.2/5.3/6.1/6.2/7.1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.1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/9.1.1/9.3/10.1/10.3</w:t>
            </w:r>
          </w:p>
          <w:p>
            <w:pPr>
              <w:pStyle w:val="2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C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(现场)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298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15:30-17:00</w:t>
            </w:r>
          </w:p>
        </w:tc>
        <w:tc>
          <w:tcPr>
            <w:tcW w:w="1062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商务部</w:t>
            </w:r>
          </w:p>
        </w:tc>
        <w:tc>
          <w:tcPr>
            <w:tcW w:w="382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组织的岗位、职责权限；目标；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产品和服务的要求、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市场开拓、合同管理；顾客满意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22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color w:val="auto"/>
                <w:sz w:val="21"/>
                <w:szCs w:val="21"/>
                <w:highlight w:val="none"/>
              </w:rPr>
              <w:t>5.3/6.2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8.2/9.1.2</w:t>
            </w:r>
          </w:p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EC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3.2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4.3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6/10.7.4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A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(现场)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298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  <w:highlight w:val="none"/>
              </w:rPr>
              <w:t>: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</w:rPr>
              <w:t>0-1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  <w:highlight w:val="none"/>
              </w:rPr>
              <w:t>: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062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商务部</w:t>
            </w:r>
          </w:p>
        </w:tc>
        <w:tc>
          <w:tcPr>
            <w:tcW w:w="382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组织的岗位、职责权限；目标、方案；环境因素/危险源识别评价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及控制措施</w:t>
            </w:r>
            <w:r>
              <w:rPr>
                <w:color w:val="auto"/>
                <w:sz w:val="21"/>
                <w:szCs w:val="21"/>
                <w:highlight w:val="none"/>
              </w:rPr>
              <w:t>；运行控制；应急准备和响应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</w:tc>
        <w:tc>
          <w:tcPr>
            <w:tcW w:w="2200" w:type="dxa"/>
            <w:shd w:val="clear" w:color="auto" w:fill="auto"/>
            <w:vAlign w:val="top"/>
          </w:tcPr>
          <w:p>
            <w:pPr>
              <w:pStyle w:val="2"/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EO</w:t>
            </w: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color w:val="auto"/>
                <w:spacing w:val="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5.3/6.2/6.1.2/8.1/8.2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B 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12-07</w:t>
            </w:r>
          </w:p>
        </w:tc>
        <w:tc>
          <w:tcPr>
            <w:tcW w:w="1298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62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82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298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:00-1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0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工程部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382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1"/>
                <w:szCs w:val="21"/>
                <w:highlight w:val="none"/>
              </w:rPr>
              <w:t>组织的岗位、职责权限；目标、方案；环境因素/危险源识别评价；基础设施；运行环境；监视和测量资源；运行的策划和控制；产品和服务的设计和开发；</w:t>
            </w:r>
            <w:r>
              <w:rPr>
                <w:rFonts w:hint="eastAsia"/>
                <w:sz w:val="21"/>
                <w:szCs w:val="21"/>
                <w:highlight w:val="none"/>
              </w:rPr>
              <w:t>生产和服务控制（完工）</w:t>
            </w:r>
            <w:r>
              <w:rPr>
                <w:sz w:val="21"/>
                <w:szCs w:val="21"/>
                <w:highlight w:val="none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>产品和服务的放行；不合格品的控制；</w:t>
            </w:r>
            <w:r>
              <w:rPr>
                <w:sz w:val="21"/>
                <w:szCs w:val="21"/>
                <w:highlight w:val="none"/>
              </w:rPr>
              <w:t>运行控制</w:t>
            </w:r>
          </w:p>
        </w:tc>
        <w:tc>
          <w:tcPr>
            <w:tcW w:w="22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A审核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Q:5.3/6.2/7.1.3/7.1.4/7.1.5/8.1/8.3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>/8.4/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8.5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>/8/7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>EC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:4.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/3.2/7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>.1/7.2/7.3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/8.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>1/8.3/8.4/8.5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/9/10/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>11.1/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12.5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E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:6.1.2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>/8.1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C审核EO5.3/6.2/8.2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A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C(现场)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298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13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:00-1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:00</w:t>
            </w:r>
          </w:p>
        </w:tc>
        <w:tc>
          <w:tcPr>
            <w:tcW w:w="1062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在建项目（与总部往返2小时车程）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382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1"/>
                <w:szCs w:val="21"/>
                <w:highlight w:val="none"/>
              </w:rPr>
              <w:t>组织的岗位、职责权限；目标、方案；环境因素/危险源识别评价；基础设施；运行环境；监视和测量资源；运行的策划和控制；产品和服务的设计和开发；</w:t>
            </w:r>
            <w:r>
              <w:rPr>
                <w:rFonts w:hint="eastAsia"/>
                <w:sz w:val="21"/>
                <w:szCs w:val="21"/>
                <w:highlight w:val="none"/>
              </w:rPr>
              <w:t>生产和服务控制（在建）</w:t>
            </w:r>
            <w:r>
              <w:rPr>
                <w:sz w:val="21"/>
                <w:szCs w:val="21"/>
                <w:highlight w:val="none"/>
              </w:rPr>
              <w:t>；</w:t>
            </w:r>
            <w:r>
              <w:rPr>
                <w:rFonts w:hint="eastAsia"/>
                <w:sz w:val="21"/>
                <w:szCs w:val="21"/>
                <w:highlight w:val="none"/>
              </w:rPr>
              <w:t>产品和服务的放行；不合格品的控制；</w:t>
            </w:r>
            <w:r>
              <w:rPr>
                <w:sz w:val="21"/>
                <w:szCs w:val="21"/>
                <w:highlight w:val="none"/>
              </w:rPr>
              <w:t>运行控制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color w:val="auto"/>
                <w:sz w:val="21"/>
                <w:szCs w:val="21"/>
                <w:highlight w:val="none"/>
              </w:rPr>
              <w:t>应急准备和响应</w:t>
            </w:r>
          </w:p>
        </w:tc>
        <w:tc>
          <w:tcPr>
            <w:tcW w:w="2200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A审核</w:t>
            </w:r>
          </w:p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Q</w:t>
            </w:r>
            <w:r>
              <w:rPr>
                <w:rFonts w:hint="eastAsia"/>
                <w:sz w:val="21"/>
                <w:szCs w:val="21"/>
                <w:highlight w:val="none"/>
              </w:rPr>
              <w:t>:</w:t>
            </w:r>
            <w:r>
              <w:rPr>
                <w:sz w:val="21"/>
                <w:szCs w:val="21"/>
                <w:highlight w:val="none"/>
              </w:rPr>
              <w:t>5.3/6.2/7.1.3/7.1.4/</w:t>
            </w:r>
            <w:r>
              <w:rPr>
                <w:rFonts w:hint="eastAsia"/>
                <w:sz w:val="21"/>
                <w:szCs w:val="21"/>
                <w:highlight w:val="none"/>
              </w:rPr>
              <w:t>7.1.5/</w:t>
            </w:r>
            <w:r>
              <w:rPr>
                <w:sz w:val="21"/>
                <w:szCs w:val="21"/>
                <w:highlight w:val="none"/>
              </w:rPr>
              <w:t>8.1/8.3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sz w:val="21"/>
                <w:szCs w:val="21"/>
                <w:highlight w:val="none"/>
              </w:rPr>
              <w:t>8.5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/8.6/8/7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EC</w:t>
            </w:r>
            <w:r>
              <w:rPr>
                <w:rFonts w:hint="eastAsia"/>
                <w:sz w:val="21"/>
                <w:szCs w:val="21"/>
                <w:highlight w:val="none"/>
              </w:rPr>
              <w:t>:4.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  <w:highlight w:val="none"/>
              </w:rPr>
              <w:t>/3.2/7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.3/7.4</w:t>
            </w:r>
            <w:r>
              <w:rPr>
                <w:rFonts w:hint="eastAsia"/>
                <w:sz w:val="21"/>
                <w:szCs w:val="21"/>
                <w:highlight w:val="none"/>
              </w:rPr>
              <w:t>/8.3/8.4/8.5/9/10/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11.1/</w:t>
            </w:r>
            <w:r>
              <w:rPr>
                <w:rFonts w:hint="eastAsia"/>
                <w:sz w:val="21"/>
                <w:szCs w:val="21"/>
                <w:highlight w:val="none"/>
              </w:rPr>
              <w:t>12.5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E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  <w:highlight w:val="none"/>
              </w:rPr>
              <w:t>:</w:t>
            </w:r>
            <w:r>
              <w:rPr>
                <w:sz w:val="21"/>
                <w:szCs w:val="21"/>
                <w:highlight w:val="none"/>
              </w:rPr>
              <w:t>6.1.2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/8.1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C审核EO5.3/6.2/8.2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A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C(现场)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  <w:highlight w:val="none"/>
              </w:rPr>
            </w:pPr>
          </w:p>
        </w:tc>
        <w:tc>
          <w:tcPr>
            <w:tcW w:w="1298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8:00-17:00</w:t>
            </w:r>
          </w:p>
        </w:tc>
        <w:tc>
          <w:tcPr>
            <w:tcW w:w="1062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总经办</w:t>
            </w:r>
          </w:p>
        </w:tc>
        <w:tc>
          <w:tcPr>
            <w:tcW w:w="382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sz w:val="21"/>
                <w:szCs w:val="21"/>
                <w:highlight w:val="none"/>
              </w:rPr>
              <w:t>组织的岗位、职责权限；目标、方案；环境因素/危险源识别评价</w:t>
            </w:r>
            <w:r>
              <w:rPr>
                <w:rFonts w:hint="eastAsia"/>
                <w:sz w:val="21"/>
                <w:szCs w:val="21"/>
                <w:highlight w:val="none"/>
              </w:rPr>
              <w:t>及控制措施</w:t>
            </w:r>
            <w:r>
              <w:rPr>
                <w:sz w:val="21"/>
                <w:szCs w:val="21"/>
                <w:highlight w:val="none"/>
              </w:rPr>
              <w:t>；合规义务；法律法规要求；</w:t>
            </w:r>
            <w:r>
              <w:rPr>
                <w:bCs/>
                <w:sz w:val="21"/>
                <w:szCs w:val="21"/>
                <w:highlight w:val="none"/>
              </w:rPr>
              <w:t>文件化信息；能力；意识；沟通</w:t>
            </w:r>
            <w:r>
              <w:rPr>
                <w:rFonts w:hint="eastAsia"/>
                <w:bCs/>
                <w:sz w:val="21"/>
                <w:szCs w:val="21"/>
                <w:highlight w:val="none"/>
              </w:rPr>
              <w:t>；</w:t>
            </w:r>
            <w:r>
              <w:rPr>
                <w:sz w:val="21"/>
                <w:szCs w:val="21"/>
                <w:highlight w:val="none"/>
              </w:rPr>
              <w:t>运行控制；应急准备和响应；绩效的监视和测量；合规性评价；内部审核；不合格及纠正和预防措施控制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；员工协商和参与；</w:t>
            </w:r>
          </w:p>
        </w:tc>
        <w:tc>
          <w:tcPr>
            <w:tcW w:w="22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EO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color w:val="auto"/>
                <w:sz w:val="21"/>
                <w:szCs w:val="21"/>
                <w:highlight w:val="none"/>
              </w:rPr>
              <w:t>5.3/6.2/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6.1.2</w:t>
            </w:r>
            <w:r>
              <w:rPr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6.1.3</w:t>
            </w:r>
            <w:r>
              <w:rPr>
                <w:color w:val="auto"/>
                <w:sz w:val="21"/>
                <w:szCs w:val="21"/>
                <w:highlight w:val="none"/>
              </w:rPr>
              <w:t>/7.2/7.3/7.4/7.5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8.1/8.2/9.1.1/</w:t>
            </w:r>
            <w:r>
              <w:rPr>
                <w:color w:val="auto"/>
                <w:sz w:val="21"/>
                <w:szCs w:val="21"/>
                <w:highlight w:val="none"/>
              </w:rPr>
              <w:t>9.1.2/9.2/10.2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O:5.4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B(远程)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  <w:t>12-08</w:t>
            </w:r>
          </w:p>
        </w:tc>
        <w:tc>
          <w:tcPr>
            <w:tcW w:w="1298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:00-1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062" w:type="dxa"/>
            <w:shd w:val="clear" w:color="auto" w:fill="auto"/>
            <w:vAlign w:val="top"/>
          </w:tcPr>
          <w:p>
            <w:pP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总经办</w:t>
            </w:r>
          </w:p>
        </w:tc>
        <w:tc>
          <w:tcPr>
            <w:tcW w:w="382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组织的岗位、职责权限；目标、方案；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文件化信息；人员、组织知识；能力；意识；沟通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施工机械与设施管理</w:t>
            </w:r>
            <w:r>
              <w:rPr>
                <w:color w:val="auto"/>
                <w:sz w:val="21"/>
                <w:szCs w:val="21"/>
                <w:highlight w:val="none"/>
              </w:rPr>
              <w:t>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工程材料、构配件和设备管理；</w:t>
            </w:r>
            <w:r>
              <w:rPr>
                <w:color w:val="auto"/>
                <w:sz w:val="21"/>
                <w:szCs w:val="21"/>
                <w:highlight w:val="none"/>
              </w:rPr>
              <w:t>外部提供的过程；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eastAsia="zh-CN"/>
              </w:rPr>
              <w:t>分析与评价；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内部审核；</w:t>
            </w:r>
            <w:r>
              <w:rPr>
                <w:color w:val="auto"/>
                <w:sz w:val="21"/>
                <w:szCs w:val="21"/>
                <w:highlight w:val="none"/>
              </w:rPr>
              <w:t>不合格及纠正和预防措施控制</w:t>
            </w:r>
          </w:p>
        </w:tc>
        <w:tc>
          <w:tcPr>
            <w:tcW w:w="2200" w:type="dxa"/>
            <w:shd w:val="clear" w:color="auto" w:fill="auto"/>
            <w:vAlign w:val="top"/>
          </w:tcPr>
          <w:p>
            <w:pPr>
              <w:spacing w:line="260" w:lineRule="exact"/>
              <w:rPr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Cs/>
                <w:color w:val="auto"/>
                <w:sz w:val="21"/>
                <w:szCs w:val="21"/>
                <w:highlight w:val="none"/>
              </w:rPr>
              <w:t>Q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5.3/6.2/7.1.2/7.1.6/7.2/7.3/7.4/7.5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8.4/9.1.3/</w:t>
            </w:r>
            <w:r>
              <w:rPr>
                <w:bCs/>
                <w:color w:val="auto"/>
                <w:sz w:val="21"/>
                <w:szCs w:val="21"/>
                <w:highlight w:val="none"/>
              </w:rPr>
              <w:t>9.2/10.2</w:t>
            </w:r>
          </w:p>
          <w:p>
            <w:pPr>
              <w:spacing w:line="260" w:lineRule="exac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EC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4.3/3.2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/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3.5/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5.1/5.2/5.3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/7.2/8.2/10.7/12.1/</w:t>
            </w:r>
            <w:r>
              <w:rPr>
                <w:rFonts w:hint="eastAsia"/>
                <w:bCs/>
                <w:color w:val="auto"/>
                <w:sz w:val="21"/>
                <w:szCs w:val="21"/>
                <w:highlight w:val="none"/>
              </w:rPr>
              <w:t>12.2</w:t>
            </w:r>
            <w:r>
              <w:rPr>
                <w:rFonts w:hint="eastAsia" w:ascii="宋体" w:hAnsi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pacing w:line="300" w:lineRule="exact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A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(现场)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98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:00-1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0</w:t>
            </w:r>
          </w:p>
        </w:tc>
        <w:tc>
          <w:tcPr>
            <w:tcW w:w="1062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>总经办</w:t>
            </w:r>
          </w:p>
        </w:tc>
        <w:tc>
          <w:tcPr>
            <w:tcW w:w="3824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继续审核总经办</w:t>
            </w:r>
          </w:p>
        </w:tc>
        <w:tc>
          <w:tcPr>
            <w:tcW w:w="220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7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B(远程)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9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1"/>
              </w:rPr>
              <w:t>:00-1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6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财务部</w:t>
            </w:r>
          </w:p>
        </w:tc>
        <w:tc>
          <w:tcPr>
            <w:tcW w:w="3824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auto"/>
                <w:sz w:val="21"/>
                <w:szCs w:val="21"/>
                <w:highlight w:val="none"/>
              </w:rPr>
              <w:t>组织的岗位、职责权限；目标、方案；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环境因素、危险源辨识；运行控制；应急准备和响应</w:t>
            </w:r>
          </w:p>
        </w:tc>
        <w:tc>
          <w:tcPr>
            <w:tcW w:w="2200" w:type="dxa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Cs/>
                <w:color w:val="000000"/>
                <w:spacing w:val="10"/>
                <w:kern w:val="2"/>
                <w:sz w:val="21"/>
                <w:szCs w:val="21"/>
                <w:lang w:val="en-US" w:eastAsia="zh-CN" w:bidi="ar-SA"/>
              </w:rPr>
              <w:t>EO 5.3/6.2/6.1.2/8.1/8.2</w:t>
            </w:r>
          </w:p>
        </w:tc>
        <w:tc>
          <w:tcPr>
            <w:tcW w:w="116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C(现场)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8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10:30-11:30</w:t>
            </w:r>
          </w:p>
        </w:tc>
        <w:tc>
          <w:tcPr>
            <w:tcW w:w="106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24" w:type="dxa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200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67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(B远程)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98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11:30-12:00</w:t>
            </w:r>
          </w:p>
        </w:tc>
        <w:tc>
          <w:tcPr>
            <w:tcW w:w="106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24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20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67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BC</w:t>
            </w:r>
          </w:p>
          <w:p>
            <w:pPr>
              <w:pStyle w:val="2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B(远程)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6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8" w:type="dxa"/>
          </w:tcPr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1062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824" w:type="dxa"/>
          </w:tcPr>
          <w:p>
            <w:pPr>
              <w:spacing w:line="300" w:lineRule="exact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午饭、休息</w:t>
            </w:r>
          </w:p>
        </w:tc>
        <w:tc>
          <w:tcPr>
            <w:tcW w:w="220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67" w:type="dxa"/>
            <w:tcBorders>
              <w:right w:val="single" w:color="auto" w:sz="8" w:space="0"/>
            </w:tcBorders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5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新魏碑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華康中楷體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NewRoma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&amp;quo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華康標宋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10" w:usb3="00000000" w:csb0="00020001" w:csb1="00000000"/>
  </w:font>
  <w:font w:name="叶根友钢笔行书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stellar">
    <w:panose1 w:val="020A0402060406010301"/>
    <w:charset w:val="00"/>
    <w:family w:val="roman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mascus">
    <w:altName w:val="Courier New"/>
    <w:panose1 w:val="00000400000000000000"/>
    <w:charset w:val="00"/>
    <w:family w:val="auto"/>
    <w:pitch w:val="default"/>
    <w:sig w:usb0="00000000" w:usb1="00000000" w:usb2="14000008" w:usb3="00000000" w:csb0="00000001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ew Gulim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鼎齿轮体">
    <w:altName w:val="宋体"/>
    <w:panose1 w:val="020B0602010101010101"/>
    <w:charset w:val="86"/>
    <w:family w:val="swiss"/>
    <w:pitch w:val="default"/>
    <w:sig w:usb0="00000000" w:usb1="00000000" w:usb2="0000001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JhengHei U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E-F1">
    <w:altName w:val="Malgun Gothic"/>
    <w:panose1 w:val="02060000000000000000"/>
    <w:charset w:val="81"/>
    <w:family w:val="roman"/>
    <w:pitch w:val="default"/>
    <w:sig w:usb0="00000000" w:usb1="00000000" w:usb2="00000033" w:usb3="00000000" w:csb0="00080000" w:csb1="00000000"/>
  </w:font>
  <w:font w:name="Mincho">
    <w:altName w:val="Yu Gothic UI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020E3E06"/>
    <w:rsid w:val="085A5FF7"/>
    <w:rsid w:val="0B6947A3"/>
    <w:rsid w:val="0BAE0408"/>
    <w:rsid w:val="0BB7550F"/>
    <w:rsid w:val="1027753F"/>
    <w:rsid w:val="13C943D1"/>
    <w:rsid w:val="15604521"/>
    <w:rsid w:val="162F4E52"/>
    <w:rsid w:val="18435C19"/>
    <w:rsid w:val="18B859ED"/>
    <w:rsid w:val="1AE96C61"/>
    <w:rsid w:val="260F2E31"/>
    <w:rsid w:val="28AA7D19"/>
    <w:rsid w:val="29C96AEB"/>
    <w:rsid w:val="2B9B22FF"/>
    <w:rsid w:val="2BB1567F"/>
    <w:rsid w:val="2DBE087D"/>
    <w:rsid w:val="2F02673E"/>
    <w:rsid w:val="35507AD8"/>
    <w:rsid w:val="355D6F6B"/>
    <w:rsid w:val="371C436C"/>
    <w:rsid w:val="37DA7D0B"/>
    <w:rsid w:val="3A6D30B9"/>
    <w:rsid w:val="3AB23FDC"/>
    <w:rsid w:val="43C81360"/>
    <w:rsid w:val="4574354D"/>
    <w:rsid w:val="484371FE"/>
    <w:rsid w:val="48B01AFF"/>
    <w:rsid w:val="494476DB"/>
    <w:rsid w:val="49A40179"/>
    <w:rsid w:val="4E740A62"/>
    <w:rsid w:val="501058E7"/>
    <w:rsid w:val="509205B0"/>
    <w:rsid w:val="55A122E5"/>
    <w:rsid w:val="5C463668"/>
    <w:rsid w:val="6042451C"/>
    <w:rsid w:val="608F34D9"/>
    <w:rsid w:val="63E94CAF"/>
    <w:rsid w:val="64537D84"/>
    <w:rsid w:val="66430FEE"/>
    <w:rsid w:val="665E3732"/>
    <w:rsid w:val="69F64B8E"/>
    <w:rsid w:val="6A074173"/>
    <w:rsid w:val="6C07486C"/>
    <w:rsid w:val="6DE309C1"/>
    <w:rsid w:val="6E0A419F"/>
    <w:rsid w:val="724445E8"/>
    <w:rsid w:val="793E2B37"/>
    <w:rsid w:val="7A580617"/>
    <w:rsid w:val="7A987AED"/>
    <w:rsid w:val="7EBE7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2207</Words>
  <Characters>3551</Characters>
  <Lines>37</Lines>
  <Paragraphs>10</Paragraphs>
  <ScaleCrop>false</ScaleCrop>
  <LinksUpToDate>false</LinksUpToDate>
  <CharactersWithSpaces>3601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2022-12-10T22:34:42Z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